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b/>
        </w:rPr>
      </w:pPr>
      <w:r>
        <w:rPr>
          <w:rFonts w:hint="eastAsia"/>
          <w:b/>
        </w:rPr>
        <w:t>项目</w:t>
      </w:r>
      <w:r>
        <w:rPr>
          <w:b/>
        </w:rPr>
        <w:t>名称：</w:t>
      </w:r>
    </w:p>
    <w:p>
      <w:pPr>
        <w:ind w:firstLine="420" w:firstLineChars="200"/>
      </w:pPr>
      <w:r>
        <w:rPr>
          <w:rFonts w:hint="eastAsia"/>
        </w:rPr>
        <w:t>糖尿病肾病（DN）的发病机制及益气活血方药防治DN的基础与临床研究</w:t>
      </w:r>
    </w:p>
    <w:p/>
    <w:tbl>
      <w:tblPr>
        <w:tblStyle w:val="2"/>
        <w:tblpPr w:leftFromText="180" w:rightFromText="180" w:vertAnchor="text" w:horzAnchor="margin" w:tblpY="479"/>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1000"/>
        <w:gridCol w:w="1843"/>
        <w:gridCol w:w="992"/>
        <w:gridCol w:w="1134"/>
        <w:gridCol w:w="1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1830" w:type="dxa"/>
            <w:vAlign w:val="center"/>
          </w:tcPr>
          <w:p>
            <w:pPr>
              <w:spacing w:line="320" w:lineRule="exact"/>
              <w:jc w:val="center"/>
              <w:rPr>
                <w:rFonts w:ascii="Times New Roman" w:hAnsi="Times New Roman"/>
                <w:szCs w:val="21"/>
              </w:rPr>
            </w:pPr>
            <w:r>
              <w:rPr>
                <w:rFonts w:hint="eastAsia" w:ascii="Times New Roman" w:hAnsi="Times New Roman"/>
                <w:szCs w:val="21"/>
              </w:rPr>
              <w:t>提名者</w:t>
            </w:r>
          </w:p>
        </w:tc>
        <w:tc>
          <w:tcPr>
            <w:tcW w:w="1000" w:type="dxa"/>
            <w:vAlign w:val="center"/>
          </w:tcPr>
          <w:p>
            <w:pPr>
              <w:spacing w:line="320" w:lineRule="exact"/>
              <w:jc w:val="center"/>
              <w:rPr>
                <w:rFonts w:ascii="Times New Roman" w:hAnsi="Times New Roman"/>
                <w:szCs w:val="21"/>
              </w:rPr>
            </w:pPr>
            <w:r>
              <w:rPr>
                <w:rFonts w:ascii="Times New Roman" w:hAnsi="Times New Roman"/>
                <w:szCs w:val="21"/>
              </w:rPr>
              <w:t>姓名</w:t>
            </w:r>
          </w:p>
        </w:tc>
        <w:tc>
          <w:tcPr>
            <w:tcW w:w="1843" w:type="dxa"/>
            <w:tcBorders>
              <w:right w:val="single" w:color="auto" w:sz="4" w:space="0"/>
            </w:tcBorders>
            <w:vAlign w:val="center"/>
          </w:tcPr>
          <w:p>
            <w:pPr>
              <w:spacing w:line="320" w:lineRule="exact"/>
              <w:jc w:val="center"/>
              <w:rPr>
                <w:rFonts w:ascii="Times New Roman" w:hAnsi="Times New Roman"/>
                <w:szCs w:val="21"/>
              </w:rPr>
            </w:pPr>
            <w:r>
              <w:rPr>
                <w:rFonts w:ascii="Times New Roman" w:hAnsi="Times New Roman"/>
                <w:szCs w:val="21"/>
              </w:rPr>
              <w:t>工作单位</w:t>
            </w:r>
          </w:p>
        </w:tc>
        <w:tc>
          <w:tcPr>
            <w:tcW w:w="992" w:type="dxa"/>
          </w:tcPr>
          <w:p>
            <w:pPr>
              <w:spacing w:line="320" w:lineRule="exact"/>
              <w:jc w:val="center"/>
              <w:rPr>
                <w:rFonts w:ascii="Times New Roman" w:hAnsi="Times New Roman"/>
                <w:szCs w:val="21"/>
              </w:rPr>
            </w:pPr>
            <w:r>
              <w:rPr>
                <w:rFonts w:hint="eastAsia" w:ascii="Times New Roman" w:hAnsi="Times New Roman"/>
                <w:szCs w:val="21"/>
              </w:rPr>
              <w:t>职称</w:t>
            </w:r>
          </w:p>
        </w:tc>
        <w:tc>
          <w:tcPr>
            <w:tcW w:w="1134" w:type="dxa"/>
            <w:tcBorders>
              <w:right w:val="single" w:color="auto" w:sz="4" w:space="0"/>
            </w:tcBorders>
            <w:vAlign w:val="center"/>
          </w:tcPr>
          <w:p>
            <w:pPr>
              <w:spacing w:line="320" w:lineRule="exact"/>
              <w:jc w:val="center"/>
              <w:rPr>
                <w:rFonts w:ascii="Times New Roman" w:hAnsi="Times New Roman"/>
                <w:szCs w:val="21"/>
              </w:rPr>
            </w:pPr>
            <w:r>
              <w:rPr>
                <w:rFonts w:ascii="Times New Roman" w:hAnsi="Times New Roman"/>
                <w:szCs w:val="21"/>
              </w:rPr>
              <w:t>一级学科</w:t>
            </w:r>
          </w:p>
        </w:tc>
        <w:tc>
          <w:tcPr>
            <w:tcW w:w="1990" w:type="dxa"/>
            <w:tcBorders>
              <w:right w:val="single" w:color="auto" w:sz="4" w:space="0"/>
            </w:tcBorders>
            <w:vAlign w:val="center"/>
          </w:tcPr>
          <w:p>
            <w:pPr>
              <w:spacing w:line="320" w:lineRule="exact"/>
              <w:jc w:val="center"/>
              <w:rPr>
                <w:rFonts w:ascii="Times New Roman" w:hAnsi="Times New Roman"/>
                <w:szCs w:val="21"/>
              </w:rPr>
            </w:pPr>
            <w:r>
              <w:rPr>
                <w:rFonts w:ascii="Times New Roman" w:hAnsi="Times New Roman"/>
                <w:szCs w:val="21"/>
              </w:rPr>
              <w:t>二级学科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trPr>
        <w:tc>
          <w:tcPr>
            <w:tcW w:w="1830" w:type="dxa"/>
            <w:vAlign w:val="center"/>
          </w:tcPr>
          <w:p>
            <w:pPr>
              <w:spacing w:line="280" w:lineRule="exact"/>
              <w:jc w:val="center"/>
              <w:rPr>
                <w:rFonts w:ascii="Times New Roman" w:hAnsi="Times New Roman"/>
                <w:szCs w:val="21"/>
              </w:rPr>
            </w:pPr>
            <w:r>
              <w:rPr>
                <w:rFonts w:ascii="Times New Roman" w:hAnsi="Times New Roman"/>
                <w:szCs w:val="21"/>
              </w:rPr>
              <w:t>提名专家</w:t>
            </w:r>
            <w:r>
              <w:rPr>
                <w:rFonts w:hint="eastAsia" w:ascii="Times New Roman" w:hAnsi="Times New Roman"/>
                <w:szCs w:val="21"/>
              </w:rPr>
              <w:t>1</w:t>
            </w:r>
          </w:p>
        </w:tc>
        <w:tc>
          <w:tcPr>
            <w:tcW w:w="1000" w:type="dxa"/>
            <w:vAlign w:val="center"/>
          </w:tcPr>
          <w:p>
            <w:pPr>
              <w:jc w:val="center"/>
              <w:rPr>
                <w:rFonts w:ascii="Times New Roman" w:hAnsi="Times New Roman"/>
                <w:szCs w:val="21"/>
              </w:rPr>
            </w:pPr>
            <w:r>
              <w:rPr>
                <w:rFonts w:hint="eastAsia" w:ascii="Times New Roman" w:hAnsi="Times New Roman"/>
                <w:szCs w:val="21"/>
              </w:rPr>
              <w:t>程</w:t>
            </w:r>
            <w:r>
              <w:rPr>
                <w:rFonts w:ascii="Times New Roman" w:hAnsi="Times New Roman"/>
                <w:szCs w:val="21"/>
              </w:rPr>
              <w:t>小红</w:t>
            </w:r>
          </w:p>
        </w:tc>
        <w:tc>
          <w:tcPr>
            <w:tcW w:w="1843" w:type="dxa"/>
            <w:tcBorders>
              <w:right w:val="single" w:color="auto" w:sz="4" w:space="0"/>
            </w:tcBorders>
            <w:vAlign w:val="center"/>
          </w:tcPr>
          <w:p>
            <w:pPr>
              <w:jc w:val="center"/>
              <w:rPr>
                <w:rFonts w:ascii="Times New Roman" w:hAnsi="Times New Roman"/>
                <w:szCs w:val="21"/>
              </w:rPr>
            </w:pPr>
            <w:r>
              <w:rPr>
                <w:rFonts w:hint="eastAsia" w:ascii="Times New Roman" w:hAnsi="Times New Roman"/>
                <w:szCs w:val="21"/>
              </w:rPr>
              <w:t>陕西省</w:t>
            </w:r>
            <w:r>
              <w:rPr>
                <w:rFonts w:ascii="Times New Roman" w:hAnsi="Times New Roman"/>
                <w:szCs w:val="21"/>
              </w:rPr>
              <w:t>中医医院</w:t>
            </w:r>
          </w:p>
        </w:tc>
        <w:tc>
          <w:tcPr>
            <w:tcW w:w="992" w:type="dxa"/>
          </w:tcPr>
          <w:p>
            <w:pPr>
              <w:jc w:val="center"/>
              <w:rPr>
                <w:rFonts w:ascii="Times New Roman" w:hAnsi="Times New Roman"/>
                <w:spacing w:val="-10"/>
                <w:szCs w:val="21"/>
              </w:rPr>
            </w:pPr>
            <w:r>
              <w:rPr>
                <w:rFonts w:hint="eastAsia" w:ascii="Times New Roman" w:hAnsi="Times New Roman"/>
                <w:spacing w:val="-10"/>
                <w:szCs w:val="21"/>
              </w:rPr>
              <w:t>高级职称</w:t>
            </w:r>
          </w:p>
        </w:tc>
        <w:tc>
          <w:tcPr>
            <w:tcW w:w="1134" w:type="dxa"/>
            <w:tcBorders>
              <w:right w:val="single" w:color="auto" w:sz="4" w:space="0"/>
            </w:tcBorders>
            <w:vAlign w:val="center"/>
          </w:tcPr>
          <w:p>
            <w:pPr>
              <w:jc w:val="center"/>
              <w:rPr>
                <w:rFonts w:ascii="Times New Roman" w:hAnsi="Times New Roman"/>
                <w:spacing w:val="-10"/>
                <w:szCs w:val="21"/>
              </w:rPr>
            </w:pPr>
            <w:r>
              <w:rPr>
                <w:rFonts w:hint="eastAsia" w:ascii="Times New Roman" w:hAnsi="Times New Roman"/>
                <w:spacing w:val="-10"/>
                <w:szCs w:val="21"/>
              </w:rPr>
              <w:t>中医学</w:t>
            </w:r>
          </w:p>
        </w:tc>
        <w:tc>
          <w:tcPr>
            <w:tcW w:w="1990" w:type="dxa"/>
            <w:tcBorders>
              <w:right w:val="single" w:color="auto" w:sz="4" w:space="0"/>
            </w:tcBorders>
            <w:vAlign w:val="center"/>
          </w:tcPr>
          <w:p>
            <w:pPr>
              <w:jc w:val="center"/>
              <w:rPr>
                <w:rFonts w:ascii="Times New Roman" w:hAnsi="Times New Roman"/>
                <w:spacing w:val="-10"/>
                <w:szCs w:val="21"/>
              </w:rPr>
            </w:pPr>
            <w:r>
              <w:rPr>
                <w:rFonts w:hint="eastAsia" w:ascii="Times New Roman" w:hAnsi="Times New Roman"/>
                <w:spacing w:val="-10"/>
                <w:szCs w:val="21"/>
              </w:rPr>
              <w:t>中医内科学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trPr>
        <w:tc>
          <w:tcPr>
            <w:tcW w:w="1830" w:type="dxa"/>
            <w:vAlign w:val="center"/>
          </w:tcPr>
          <w:p>
            <w:pPr>
              <w:spacing w:line="280" w:lineRule="exact"/>
              <w:jc w:val="center"/>
              <w:rPr>
                <w:rFonts w:ascii="Times New Roman" w:hAnsi="Times New Roman"/>
                <w:szCs w:val="21"/>
              </w:rPr>
            </w:pPr>
            <w:r>
              <w:rPr>
                <w:rFonts w:ascii="Times New Roman" w:hAnsi="Times New Roman"/>
                <w:szCs w:val="21"/>
              </w:rPr>
              <w:t>提名专家</w:t>
            </w:r>
            <w:r>
              <w:rPr>
                <w:rFonts w:hint="eastAsia" w:ascii="Times New Roman" w:hAnsi="Times New Roman"/>
                <w:szCs w:val="21"/>
              </w:rPr>
              <w:t>2</w:t>
            </w:r>
          </w:p>
        </w:tc>
        <w:tc>
          <w:tcPr>
            <w:tcW w:w="1000" w:type="dxa"/>
            <w:vAlign w:val="center"/>
          </w:tcPr>
          <w:p>
            <w:pPr>
              <w:jc w:val="center"/>
              <w:rPr>
                <w:rFonts w:ascii="Times New Roman" w:hAnsi="Times New Roman"/>
                <w:szCs w:val="21"/>
              </w:rPr>
            </w:pPr>
            <w:r>
              <w:rPr>
                <w:rFonts w:hint="eastAsia" w:ascii="Times New Roman" w:hAnsi="Times New Roman"/>
                <w:szCs w:val="21"/>
              </w:rPr>
              <w:t>胡</w:t>
            </w:r>
            <w:r>
              <w:rPr>
                <w:rFonts w:ascii="Times New Roman" w:hAnsi="Times New Roman"/>
                <w:szCs w:val="21"/>
              </w:rPr>
              <w:t>小娟</w:t>
            </w:r>
          </w:p>
        </w:tc>
        <w:tc>
          <w:tcPr>
            <w:tcW w:w="1843" w:type="dxa"/>
            <w:tcBorders>
              <w:right w:val="single" w:color="auto" w:sz="4" w:space="0"/>
            </w:tcBorders>
            <w:vAlign w:val="center"/>
          </w:tcPr>
          <w:p>
            <w:pPr>
              <w:jc w:val="center"/>
              <w:rPr>
                <w:rFonts w:ascii="Times New Roman" w:hAnsi="Times New Roman"/>
                <w:szCs w:val="21"/>
              </w:rPr>
            </w:pPr>
            <w:r>
              <w:rPr>
                <w:rFonts w:hint="eastAsia" w:ascii="Times New Roman" w:hAnsi="Times New Roman"/>
                <w:szCs w:val="21"/>
              </w:rPr>
              <w:t>陕西省</w:t>
            </w:r>
            <w:r>
              <w:rPr>
                <w:rFonts w:ascii="Times New Roman" w:hAnsi="Times New Roman"/>
                <w:szCs w:val="21"/>
              </w:rPr>
              <w:t>中医医院</w:t>
            </w:r>
          </w:p>
        </w:tc>
        <w:tc>
          <w:tcPr>
            <w:tcW w:w="992" w:type="dxa"/>
          </w:tcPr>
          <w:p>
            <w:pPr>
              <w:jc w:val="center"/>
              <w:rPr>
                <w:rFonts w:ascii="Times New Roman" w:hAnsi="Times New Roman"/>
                <w:spacing w:val="-10"/>
                <w:szCs w:val="21"/>
              </w:rPr>
            </w:pPr>
            <w:r>
              <w:rPr>
                <w:rFonts w:hint="eastAsia" w:ascii="Times New Roman" w:hAnsi="Times New Roman"/>
                <w:spacing w:val="-10"/>
                <w:szCs w:val="21"/>
              </w:rPr>
              <w:t>高级</w:t>
            </w:r>
            <w:r>
              <w:rPr>
                <w:rFonts w:ascii="Times New Roman" w:hAnsi="Times New Roman"/>
                <w:spacing w:val="-10"/>
                <w:szCs w:val="21"/>
              </w:rPr>
              <w:t>职称</w:t>
            </w:r>
          </w:p>
        </w:tc>
        <w:tc>
          <w:tcPr>
            <w:tcW w:w="1134" w:type="dxa"/>
            <w:tcBorders>
              <w:right w:val="single" w:color="auto" w:sz="4" w:space="0"/>
            </w:tcBorders>
            <w:vAlign w:val="center"/>
          </w:tcPr>
          <w:p>
            <w:pPr>
              <w:jc w:val="center"/>
              <w:rPr>
                <w:rFonts w:ascii="Times New Roman" w:hAnsi="Times New Roman"/>
                <w:spacing w:val="-10"/>
                <w:szCs w:val="21"/>
              </w:rPr>
            </w:pPr>
            <w:r>
              <w:rPr>
                <w:rFonts w:hint="eastAsia" w:ascii="Times New Roman" w:hAnsi="Times New Roman"/>
                <w:spacing w:val="-10"/>
                <w:szCs w:val="21"/>
              </w:rPr>
              <w:t>中医学</w:t>
            </w:r>
          </w:p>
        </w:tc>
        <w:tc>
          <w:tcPr>
            <w:tcW w:w="1990" w:type="dxa"/>
            <w:tcBorders>
              <w:right w:val="single" w:color="auto" w:sz="4" w:space="0"/>
            </w:tcBorders>
            <w:vAlign w:val="center"/>
          </w:tcPr>
          <w:p>
            <w:pPr>
              <w:jc w:val="center"/>
              <w:rPr>
                <w:rFonts w:ascii="Times New Roman" w:hAnsi="Times New Roman"/>
                <w:spacing w:val="-10"/>
                <w:szCs w:val="21"/>
              </w:rPr>
            </w:pPr>
            <w:r>
              <w:rPr>
                <w:rFonts w:hint="eastAsia" w:ascii="Times New Roman" w:hAnsi="Times New Roman"/>
                <w:spacing w:val="-10"/>
                <w:szCs w:val="21"/>
              </w:rPr>
              <w:t>中医内科学</w:t>
            </w:r>
          </w:p>
        </w:tc>
      </w:tr>
    </w:tbl>
    <w:p>
      <w:pPr>
        <w:rPr>
          <w:b/>
        </w:rPr>
      </w:pPr>
      <w:r>
        <w:rPr>
          <w:rFonts w:hint="eastAsia"/>
          <w:b/>
        </w:rPr>
        <w:t>提名者：</w:t>
      </w:r>
    </w:p>
    <w:p>
      <w:pPr>
        <w:rPr>
          <w:color w:val="000000" w:themeColor="text1"/>
          <w14:textFill>
            <w14:solidFill>
              <w14:schemeClr w14:val="tx1"/>
            </w14:solidFill>
          </w14:textFill>
        </w:rPr>
      </w:pP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提名意见</w:t>
      </w:r>
      <w:r>
        <w:rPr>
          <w:b/>
          <w:color w:val="000000" w:themeColor="text1"/>
          <w14:textFill>
            <w14:solidFill>
              <w14:schemeClr w14:val="tx1"/>
            </w14:solidFill>
          </w14:textFill>
        </w:rPr>
        <w:t>：</w:t>
      </w:r>
    </w:p>
    <w:p>
      <w:pPr>
        <w:ind w:firstLine="315" w:firstLineChars="150"/>
        <w:rPr>
          <w:rFonts w:hint="eastAsia"/>
          <w:color w:val="000000"/>
          <w:lang w:val="en-US" w:eastAsia="zh-CN"/>
        </w:rPr>
      </w:pPr>
      <w:r>
        <w:rPr>
          <w:rFonts w:hint="eastAsia"/>
          <w:color w:val="000000"/>
        </w:rPr>
        <w:t>糖尿病肾病是糖尿病最常见并发症</w:t>
      </w:r>
      <w:r>
        <w:rPr>
          <w:rFonts w:hint="eastAsia"/>
          <w:color w:val="000000"/>
          <w:lang w:val="en-US" w:eastAsia="zh-CN"/>
        </w:rPr>
        <w:t>之一</w:t>
      </w:r>
      <w:r>
        <w:rPr>
          <w:rFonts w:hint="eastAsia"/>
          <w:color w:val="000000"/>
        </w:rPr>
        <w:t>，</w:t>
      </w:r>
      <w:r>
        <w:rPr>
          <w:rFonts w:hint="eastAsia"/>
          <w:color w:val="000000"/>
          <w:lang w:val="en-US" w:eastAsia="zh-CN"/>
        </w:rPr>
        <w:t>亦是</w:t>
      </w:r>
      <w:r>
        <w:rPr>
          <w:rFonts w:hint="eastAsia"/>
          <w:color w:val="000000"/>
        </w:rPr>
        <w:t>引起慢性肾功能衰竭(CRF)首要原因,同时也是导致糖尿病(DM)患者死亡的主要原因。目前, 西药治疗DN尚缺乏有效的手段,</w:t>
      </w:r>
      <w:r>
        <w:rPr>
          <w:rFonts w:hint="eastAsia"/>
          <w:color w:val="000000"/>
          <w:lang w:val="en-US" w:eastAsia="zh-CN"/>
        </w:rPr>
        <w:t>而中医药防治是当前研究的热点。</w:t>
      </w:r>
      <w:r>
        <w:rPr>
          <w:rFonts w:hint="eastAsia"/>
          <w:lang w:val="en-US" w:eastAsia="zh-CN"/>
        </w:rPr>
        <w:t>该项目围绕</w:t>
      </w:r>
      <w:r>
        <w:rPr>
          <w:rFonts w:hint="eastAsia"/>
        </w:rPr>
        <w:t>糖尿病肾病（DN）的发病机制及益气活血方药防治DN</w:t>
      </w:r>
      <w:r>
        <w:rPr>
          <w:rFonts w:hint="eastAsia"/>
          <w:lang w:eastAsia="zh-CN"/>
        </w:rPr>
        <w:t>，</w:t>
      </w:r>
      <w:r>
        <w:rPr>
          <w:rFonts w:hint="eastAsia"/>
          <w:lang w:val="en-US" w:eastAsia="zh-CN"/>
        </w:rPr>
        <w:t>展开基础及临床研究，获得了益气活血方药防治糖尿病肾病的部分机制：1、</w:t>
      </w:r>
      <w:r>
        <w:rPr>
          <w:rFonts w:hint="eastAsia"/>
          <w:color w:val="000000"/>
        </w:rPr>
        <w:t>能够减少早期DN模型大鼠肾组织TGF-β1、Smad2的表达，上调Smad7</w:t>
      </w:r>
      <w:r>
        <w:rPr>
          <w:rFonts w:hint="eastAsia"/>
          <w:color w:val="000000"/>
          <w:lang w:eastAsia="zh-CN"/>
        </w:rPr>
        <w:t>、</w:t>
      </w:r>
      <w:r>
        <w:rPr>
          <w:rFonts w:hint="eastAsia"/>
          <w:color w:val="000000"/>
        </w:rPr>
        <w:t>podocin、CD2AP蛋白表达, 改善肾足细胞损伤, 降低尿蛋白</w:t>
      </w:r>
      <w:r>
        <w:rPr>
          <w:rFonts w:hint="eastAsia"/>
          <w:color w:val="000000"/>
          <w:lang w:eastAsia="zh-CN"/>
        </w:rPr>
        <w:t>，</w:t>
      </w:r>
      <w:r>
        <w:rPr>
          <w:rFonts w:hint="eastAsia"/>
          <w:color w:val="000000"/>
          <w:lang w:val="en-US" w:eastAsia="zh-CN"/>
        </w:rPr>
        <w:t>而且</w:t>
      </w:r>
      <w:r>
        <w:rPr>
          <w:rFonts w:hint="eastAsia"/>
          <w:color w:val="000000"/>
        </w:rPr>
        <w:t>降低大鼠血清ET、TXB2</w:t>
      </w:r>
      <w:r>
        <w:rPr>
          <w:rFonts w:hint="eastAsia"/>
          <w:color w:val="000000"/>
          <w:lang w:eastAsia="zh-CN"/>
        </w:rPr>
        <w:t>、</w:t>
      </w:r>
      <w:r>
        <w:rPr>
          <w:rFonts w:hint="eastAsia"/>
          <w:color w:val="000000"/>
        </w:rPr>
        <w:t>SREBP-1c、SREBP-2c水平，提高血清6-keto-PGF1α含量，以抑制血小板活化,防止血管内皮细胞损伤和血栓形成及降低肾小球高滤过，调节血脂代谢</w:t>
      </w:r>
      <w:r>
        <w:rPr>
          <w:rFonts w:hint="eastAsia"/>
          <w:color w:val="000000"/>
          <w:lang w:eastAsia="zh-CN"/>
        </w:rPr>
        <w:t>，</w:t>
      </w:r>
      <w:r>
        <w:rPr>
          <w:rFonts w:hint="eastAsia"/>
          <w:color w:val="000000"/>
        </w:rPr>
        <w:t>从而延缓肾脏纤维化、及硬化。2、经电子显微镜观察</w:t>
      </w:r>
      <w:r>
        <w:rPr>
          <w:rFonts w:hint="eastAsia"/>
          <w:color w:val="000000"/>
          <w:lang w:eastAsia="zh-CN"/>
        </w:rPr>
        <w:t>，</w:t>
      </w:r>
      <w:r>
        <w:rPr>
          <w:rFonts w:hint="eastAsia"/>
          <w:color w:val="000000"/>
          <w:lang w:val="en-US" w:eastAsia="zh-CN"/>
        </w:rPr>
        <w:t>应用益气活血方药后，</w:t>
      </w:r>
      <w:r>
        <w:rPr>
          <w:rFonts w:hint="eastAsia"/>
          <w:color w:val="000000"/>
        </w:rPr>
        <w:t>局部足突变短、平 坦、融合</w:t>
      </w:r>
      <w:r>
        <w:rPr>
          <w:rFonts w:hint="eastAsia"/>
          <w:color w:val="000000"/>
          <w:lang w:val="en-US" w:eastAsia="zh-CN"/>
        </w:rPr>
        <w:t>明显改善</w:t>
      </w:r>
      <w:r>
        <w:rPr>
          <w:rFonts w:hint="eastAsia"/>
          <w:color w:val="000000"/>
        </w:rPr>
        <w:t>，局部基底膜增厚</w:t>
      </w:r>
      <w:r>
        <w:rPr>
          <w:rFonts w:hint="eastAsia"/>
          <w:color w:val="000000"/>
          <w:lang w:val="en-US" w:eastAsia="zh-CN"/>
        </w:rPr>
        <w:t>减轻。项目成果：</w:t>
      </w:r>
      <w:r>
        <w:rPr>
          <w:rFonts w:hint="eastAsia"/>
          <w:color w:val="000000"/>
        </w:rPr>
        <w:t>以上临床及实验研究结果</w:t>
      </w:r>
      <w:r>
        <w:rPr>
          <w:rFonts w:hint="eastAsia"/>
          <w:color w:val="000000"/>
          <w:lang w:eastAsia="zh-CN"/>
        </w:rPr>
        <w:t>，</w:t>
      </w:r>
      <w:r>
        <w:rPr>
          <w:rFonts w:hint="eastAsia"/>
          <w:color w:val="000000"/>
        </w:rPr>
        <w:t>已发表论文</w:t>
      </w:r>
      <w:r>
        <w:rPr>
          <w:rFonts w:hint="eastAsia"/>
          <w:color w:val="000000"/>
          <w:lang w:val="en-US" w:eastAsia="zh-CN"/>
        </w:rPr>
        <w:t>16</w:t>
      </w:r>
      <w:r>
        <w:rPr>
          <w:rFonts w:hint="eastAsia"/>
          <w:color w:val="000000"/>
        </w:rPr>
        <w:t>篇</w:t>
      </w:r>
      <w:r>
        <w:rPr>
          <w:rFonts w:hint="eastAsia"/>
          <w:color w:val="000000"/>
          <w:lang w:eastAsia="zh-CN"/>
        </w:rPr>
        <w:t>，</w:t>
      </w:r>
      <w:r>
        <w:rPr>
          <w:rFonts w:hint="eastAsia"/>
          <w:color w:val="000000"/>
        </w:rPr>
        <w:t>核心期刊</w:t>
      </w:r>
      <w:r>
        <w:rPr>
          <w:rFonts w:hint="eastAsia"/>
          <w:color w:val="000000"/>
          <w:lang w:val="en-US" w:eastAsia="zh-CN"/>
        </w:rPr>
        <w:t>14</w:t>
      </w:r>
      <w:r>
        <w:rPr>
          <w:rFonts w:hint="eastAsia"/>
          <w:color w:val="000000"/>
        </w:rPr>
        <w:t>篇</w:t>
      </w:r>
      <w:r>
        <w:rPr>
          <w:rFonts w:hint="eastAsia"/>
          <w:color w:val="000000"/>
          <w:lang w:eastAsia="zh-CN"/>
        </w:rPr>
        <w:t>，</w:t>
      </w:r>
      <w:r>
        <w:rPr>
          <w:rFonts w:hint="eastAsia"/>
          <w:color w:val="000000"/>
        </w:rPr>
        <w:t>SCI</w:t>
      </w:r>
      <w:r>
        <w:rPr>
          <w:rFonts w:hint="eastAsia"/>
          <w:color w:val="000000"/>
          <w:lang w:val="en-US" w:eastAsia="zh-CN"/>
        </w:rPr>
        <w:t xml:space="preserve"> 2</w:t>
      </w:r>
      <w:r>
        <w:rPr>
          <w:rFonts w:hint="eastAsia"/>
          <w:color w:val="000000"/>
        </w:rPr>
        <w:t>篇。而且在DN的发病机制及防治机理方面为临床新药提供了具有重要价值的科学理论依据。</w:t>
      </w:r>
      <w:r>
        <w:rPr>
          <w:rFonts w:hint="eastAsia"/>
          <w:color w:val="000000"/>
          <w:lang w:val="en-US" w:eastAsia="zh-CN"/>
        </w:rPr>
        <w:t>糖肾一号胶囊并在国内7家医院推广临床应用。</w:t>
      </w:r>
    </w:p>
    <w:p>
      <w:pPr>
        <w:ind w:firstLine="315" w:firstLineChars="150"/>
        <w:rPr>
          <w:rFonts w:hint="default"/>
          <w:color w:val="000000"/>
          <w:lang w:val="en-US" w:eastAsia="zh-CN"/>
        </w:rPr>
      </w:pPr>
      <w:r>
        <w:rPr>
          <w:rFonts w:hint="eastAsia"/>
          <w:color w:val="000000" w:themeColor="text1"/>
          <w14:textFill>
            <w14:solidFill>
              <w14:schemeClr w14:val="tx1"/>
            </w14:solidFill>
          </w14:textFill>
        </w:rPr>
        <w:t>推荐</w:t>
      </w:r>
      <w:r>
        <w:rPr>
          <w:color w:val="000000" w:themeColor="text1"/>
          <w14:textFill>
            <w14:solidFill>
              <w14:schemeClr w14:val="tx1"/>
            </w14:solidFill>
          </w14:textFill>
        </w:rPr>
        <w:t>申请陕西省科学技术</w:t>
      </w:r>
      <w:r>
        <w:rPr>
          <w:rFonts w:hint="eastAsia"/>
          <w:color w:val="000000" w:themeColor="text1"/>
          <w14:textFill>
            <w14:solidFill>
              <w14:schemeClr w14:val="tx1"/>
            </w14:solidFill>
          </w14:textFill>
        </w:rPr>
        <w:t>进步奖三</w:t>
      </w:r>
      <w:r>
        <w:rPr>
          <w:color w:val="000000" w:themeColor="text1"/>
          <w14:textFill>
            <w14:solidFill>
              <w14:schemeClr w14:val="tx1"/>
            </w14:solidFill>
          </w14:textFill>
        </w:rPr>
        <w:t>等奖</w:t>
      </w:r>
      <w:r>
        <w:rPr>
          <w:rFonts w:hint="eastAsia"/>
          <w:color w:val="000000" w:themeColor="text1"/>
          <w14:textFill>
            <w14:solidFill>
              <w14:schemeClr w14:val="tx1"/>
            </w14:solidFill>
          </w14:textFill>
        </w:rPr>
        <w:t>。</w:t>
      </w:r>
    </w:p>
    <w:p>
      <w:pPr>
        <w:rPr>
          <w:rFonts w:hint="default" w:eastAsiaTheme="minorEastAsia"/>
          <w:lang w:val="en-US" w:eastAsia="zh-CN"/>
        </w:rPr>
      </w:pPr>
    </w:p>
    <w:p>
      <w:pPr>
        <w:rPr>
          <w:b/>
        </w:rPr>
      </w:pPr>
      <w:r>
        <w:rPr>
          <w:rFonts w:hint="eastAsia"/>
          <w:b/>
        </w:rPr>
        <w:t>项目简介</w:t>
      </w:r>
      <w:r>
        <w:rPr>
          <w:b/>
        </w:rPr>
        <w:t>：</w:t>
      </w:r>
    </w:p>
    <w:p>
      <w:pPr>
        <w:ind w:firstLine="315" w:firstLineChars="150"/>
      </w:pPr>
      <w:r>
        <w:rPr>
          <w:rFonts w:hint="eastAsia"/>
          <w:color w:val="000000"/>
        </w:rPr>
        <w:t>糖尿病肾病(diabeticnephropathy,DN)是糖尿病最常见并发症，在糖尿病患者中，随着年龄的增 长及病程的延长,形成DN的危险因素也随之增多。无论是在西方发达国家还是在我国国内,DN都已 成为引起慢性肾功能衰竭(CRF)首要原因,同时也是导致糖尿病(DM)患者死亡的主要原因。目前, 西药治疗DN尚缺乏有效的手段,胰岛素制剂及各种口服降糖药,即使能较好的控制血糖水平也不能 完全阻断DN的病情进展。所以,有效地防止DN的发生和发展,是DN研究的重要课题。中医药对DN的 临床研究成为当今的一大热点、难点。中医学认为DN的病理特征是本虚标实、虚实夹杂。病变脏 腑涉及肺、脾、肾,以肾为关键,且以气虚血瘀为主要病机，以益气活血化瘀为治则，本课题组以糖肾一号胶囊及益气活血方、藏红花素等为手段，通过临床及实验研究的方式，发现上述手段对 糖尿病肾病防治有很好的效果。（一）临床研究：通过观察糖尿病肾病患者中医辨证为气阴两虚 、瘀血内阻证型经糖肾一号胶囊治疗前后24小时尿蛋白定量、血清MMMP-9及TIMP-1、AngⅡ及GMP -140等指标的变化，并综合分析、研究此方药的临床疗效及其作用机理,为临床新药提供理论依 据。经过临床观察研究，治疗组30例，完全缓解2例,显效7例,有效12例,无效9例,总有效率为70% ;对照组30例,分别为0例、5例、12例、13例、56.7%。两组比较,治疗组疗效明显为优(P&lt;0.05)。 其化验指标两组血MMP-9水平均升高，TIMP-1、AngⅡ、GMP-140水平均下降,治疗组与对照组比较 (P&lt;0.05);尿微量白蛋白,治疗组与对照组比较有显著性差异(P&lt;0.05)。上述研究证明糖肾一号胶囊能明显改善症状，其治疗机理是通过影响血清MMP-9、TIMP-1 、AngⅡ、GMP-140水平,减少尿尿中微量白蛋白而延缓肾脏纤维化、硬化。（二）实验研究：1、通过DN大鼠模型，观察益气活血方药不但能够减少早期DN模型大鼠肾组织TGF-β1、Smad2的表达，上调Smad7</w:t>
      </w:r>
      <w:r>
        <w:rPr>
          <w:rFonts w:hint="eastAsia"/>
          <w:color w:val="000000"/>
          <w:lang w:eastAsia="zh-CN"/>
        </w:rPr>
        <w:t>、</w:t>
      </w:r>
      <w:r>
        <w:rPr>
          <w:rFonts w:hint="eastAsia"/>
          <w:color w:val="000000"/>
        </w:rPr>
        <w:t>podocin、CD2AP蛋白表达, 改善肾足细胞损伤, 降低尿蛋白</w:t>
      </w:r>
      <w:r>
        <w:rPr>
          <w:rFonts w:hint="eastAsia"/>
          <w:color w:val="000000"/>
          <w:lang w:eastAsia="zh-CN"/>
        </w:rPr>
        <w:t>，</w:t>
      </w:r>
      <w:r>
        <w:rPr>
          <w:rFonts w:hint="eastAsia"/>
          <w:color w:val="000000"/>
          <w:lang w:val="en-US" w:eastAsia="zh-CN"/>
        </w:rPr>
        <w:t>而且</w:t>
      </w:r>
      <w:r>
        <w:rPr>
          <w:rFonts w:hint="eastAsia"/>
          <w:color w:val="000000"/>
        </w:rPr>
        <w:t>降低大鼠血清ET、TXB2</w:t>
      </w:r>
      <w:r>
        <w:rPr>
          <w:rFonts w:hint="eastAsia"/>
          <w:color w:val="000000"/>
          <w:lang w:eastAsia="zh-CN"/>
        </w:rPr>
        <w:t>、</w:t>
      </w:r>
      <w:r>
        <w:rPr>
          <w:rFonts w:hint="eastAsia"/>
          <w:color w:val="000000"/>
        </w:rPr>
        <w:t>SREBP-1c、SREBP-2c水平，提高血清6-keto-PGF1α含量，以抑制血小板活化,防止血管内皮细胞损伤和血栓形成及降低肾小球高滤过，调节血脂代谢</w:t>
      </w:r>
      <w:r>
        <w:rPr>
          <w:rFonts w:hint="eastAsia"/>
          <w:color w:val="000000"/>
          <w:lang w:eastAsia="zh-CN"/>
        </w:rPr>
        <w:t>，</w:t>
      </w:r>
      <w:r>
        <w:rPr>
          <w:rFonts w:hint="eastAsia"/>
          <w:color w:val="000000"/>
        </w:rPr>
        <w:t>从而延缓肾脏纤维化、及硬化。2、经电子显微镜观察</w:t>
      </w:r>
      <w:r>
        <w:rPr>
          <w:rFonts w:hint="eastAsia"/>
          <w:color w:val="000000"/>
          <w:lang w:eastAsia="zh-CN"/>
        </w:rPr>
        <w:t>，</w:t>
      </w:r>
      <w:r>
        <w:rPr>
          <w:rFonts w:hint="eastAsia"/>
          <w:color w:val="000000"/>
          <w:lang w:val="en-US" w:eastAsia="zh-CN"/>
        </w:rPr>
        <w:t>应用益气活血方药后，</w:t>
      </w:r>
      <w:r>
        <w:rPr>
          <w:rFonts w:hint="eastAsia"/>
          <w:color w:val="000000"/>
        </w:rPr>
        <w:t>局部足突变短、平 坦、融合</w:t>
      </w:r>
      <w:r>
        <w:rPr>
          <w:rFonts w:hint="eastAsia"/>
          <w:color w:val="000000"/>
          <w:lang w:val="en-US" w:eastAsia="zh-CN"/>
        </w:rPr>
        <w:t>明显改善</w:t>
      </w:r>
      <w:r>
        <w:rPr>
          <w:rFonts w:hint="eastAsia"/>
          <w:color w:val="000000"/>
        </w:rPr>
        <w:t>，局部基底膜增厚</w:t>
      </w:r>
      <w:r>
        <w:rPr>
          <w:rFonts w:hint="eastAsia"/>
          <w:color w:val="000000"/>
          <w:lang w:val="en-US" w:eastAsia="zh-CN"/>
        </w:rPr>
        <w:t>减轻。</w:t>
      </w:r>
      <w:r>
        <w:rPr>
          <w:rFonts w:hint="eastAsia"/>
          <w:color w:val="000000"/>
        </w:rPr>
        <w:t>以上临床及实验研究结果已发表论文</w:t>
      </w:r>
      <w:r>
        <w:rPr>
          <w:rFonts w:hint="eastAsia"/>
          <w:color w:val="000000"/>
          <w:lang w:val="en-US" w:eastAsia="zh-CN"/>
        </w:rPr>
        <w:t>16</w:t>
      </w:r>
      <w:r>
        <w:rPr>
          <w:rFonts w:hint="eastAsia"/>
          <w:color w:val="000000"/>
        </w:rPr>
        <w:t>篇</w:t>
      </w:r>
      <w:r>
        <w:rPr>
          <w:rFonts w:hint="eastAsia"/>
          <w:color w:val="000000"/>
          <w:lang w:eastAsia="zh-CN"/>
        </w:rPr>
        <w:t>，</w:t>
      </w:r>
      <w:r>
        <w:rPr>
          <w:rFonts w:hint="eastAsia"/>
          <w:color w:val="000000"/>
        </w:rPr>
        <w:t>核心期刊</w:t>
      </w:r>
      <w:r>
        <w:rPr>
          <w:rFonts w:hint="eastAsia"/>
          <w:color w:val="000000"/>
          <w:lang w:val="en-US" w:eastAsia="zh-CN"/>
        </w:rPr>
        <w:t>14</w:t>
      </w:r>
      <w:r>
        <w:rPr>
          <w:rFonts w:hint="eastAsia"/>
          <w:color w:val="000000"/>
        </w:rPr>
        <w:t>篇、SCI</w:t>
      </w:r>
      <w:r>
        <w:rPr>
          <w:rFonts w:hint="eastAsia"/>
          <w:color w:val="000000"/>
          <w:lang w:val="en-US" w:eastAsia="zh-CN"/>
        </w:rPr>
        <w:t>2</w:t>
      </w:r>
      <w:r>
        <w:rPr>
          <w:rFonts w:hint="eastAsia"/>
          <w:color w:val="000000"/>
        </w:rPr>
        <w:t>篇</w:t>
      </w:r>
      <w:r>
        <w:rPr>
          <w:rFonts w:hint="eastAsia"/>
          <w:color w:val="000000"/>
          <w:lang w:eastAsia="zh-CN"/>
        </w:rPr>
        <w:t>，</w:t>
      </w:r>
      <w:r>
        <w:rPr>
          <w:rFonts w:hint="eastAsia"/>
          <w:color w:val="000000"/>
        </w:rPr>
        <w:t>已被同行引用多次。此研究不但获得了显著地临床效果，而且在DN的发病机制及防治机理方面为临床新药提供了具有重要价值的科学理论依据。</w:t>
      </w:r>
    </w:p>
    <w:p>
      <w:pPr>
        <w:rPr>
          <w:rFonts w:hint="eastAsia"/>
          <w:b/>
        </w:rPr>
      </w:pPr>
    </w:p>
    <w:p>
      <w:pPr>
        <w:rPr>
          <w:b/>
        </w:rPr>
      </w:pPr>
      <w:r>
        <w:rPr>
          <w:rFonts w:hint="eastAsia"/>
          <w:b/>
        </w:rPr>
        <w:t>客观评价：</w:t>
      </w:r>
    </w:p>
    <w:p>
      <w:pPr>
        <w:ind w:firstLine="420" w:firstLineChars="200"/>
      </w:pPr>
      <w:r>
        <w:rPr>
          <w:rFonts w:hint="eastAsia"/>
          <w:color w:val="000000"/>
          <w:lang w:val="en-US" w:eastAsia="zh-CN"/>
        </w:rPr>
        <w:t>经相关专家委员会评定：</w:t>
      </w:r>
      <w:r>
        <w:rPr>
          <w:rFonts w:hint="eastAsia"/>
          <w:color w:val="000000"/>
        </w:rPr>
        <w:t>“</w:t>
      </w:r>
      <w:r>
        <w:rPr>
          <w:rFonts w:hint="eastAsia"/>
        </w:rPr>
        <w:t>糖尿病肾病（DN）的发病机制及益气活血方药防治DN的基础与临床研究</w:t>
      </w:r>
      <w:r>
        <w:rPr>
          <w:rFonts w:hint="eastAsia"/>
          <w:color w:val="000000"/>
        </w:rPr>
        <w:t>”项目： 1、该项目提出气虚血瘀为糖尿病肾病病机关键，采用益气活血方药</w:t>
      </w:r>
      <w:r>
        <w:rPr>
          <w:rFonts w:hint="eastAsia"/>
          <w:color w:val="000000"/>
          <w:lang w:eastAsia="zh-CN"/>
        </w:rPr>
        <w:t>（</w:t>
      </w:r>
      <w:r>
        <w:rPr>
          <w:rFonts w:hint="eastAsia"/>
          <w:color w:val="000000"/>
        </w:rPr>
        <w:t>糖肾1号胶囊</w:t>
      </w:r>
      <w:r>
        <w:rPr>
          <w:rFonts w:hint="eastAsia"/>
          <w:color w:val="000000"/>
          <w:lang w:val="en-US" w:eastAsia="zh-CN"/>
        </w:rPr>
        <w:t>及藏红花素）</w:t>
      </w:r>
      <w:r>
        <w:rPr>
          <w:rFonts w:hint="eastAsia"/>
          <w:color w:val="000000"/>
        </w:rPr>
        <w:t xml:space="preserve">治疗糖尿病肾病，为糖尿病肾病的中医药治疗提供了新的方法。 </w:t>
      </w:r>
      <w:r>
        <w:rPr>
          <w:rFonts w:hint="eastAsia"/>
          <w:color w:val="000000"/>
          <w:lang w:val="en-US" w:eastAsia="zh-CN"/>
        </w:rPr>
        <w:t>2</w:t>
      </w:r>
      <w:r>
        <w:rPr>
          <w:rFonts w:hint="eastAsia"/>
          <w:color w:val="000000"/>
        </w:rPr>
        <w:t>、该项目立题新颖实用，思路明确、设计合理，科学性强，技术资料真实，数据处理可靠。研究以黄芪、丹参、当归</w:t>
      </w:r>
      <w:r>
        <w:rPr>
          <w:rFonts w:hint="eastAsia"/>
          <w:color w:val="000000"/>
          <w:lang w:eastAsia="zh-CN"/>
        </w:rPr>
        <w:t>、</w:t>
      </w:r>
      <w:r>
        <w:rPr>
          <w:rFonts w:hint="eastAsia"/>
          <w:color w:val="000000"/>
          <w:lang w:val="en-US" w:eastAsia="zh-CN"/>
        </w:rPr>
        <w:t>及藏红花素</w:t>
      </w:r>
      <w:r>
        <w:rPr>
          <w:rFonts w:hint="eastAsia"/>
          <w:color w:val="000000"/>
        </w:rPr>
        <w:t>等方治疗糖尿病肾病，研究提示：上述方药无毒副作用和不良反应，对其有效性和安全性作出评价,证实了该益气活血方药是临床治疗糖尿病肾病安全有效的方法，为丰富中医药糖尿病肾病的病机及治疗学内涵做了有益的探讨。</w:t>
      </w:r>
    </w:p>
    <w:p/>
    <w:p>
      <w:pPr>
        <w:rPr>
          <w:b/>
        </w:rPr>
      </w:pPr>
      <w:r>
        <w:rPr>
          <w:rFonts w:hint="eastAsia"/>
          <w:b/>
        </w:rPr>
        <w:t>应用情况：</w:t>
      </w:r>
    </w:p>
    <w:p>
      <w:pPr>
        <w:ind w:firstLine="210" w:firstLineChars="100"/>
        <w:rPr>
          <w:color w:val="000000" w:themeColor="text1"/>
          <w14:textFill>
            <w14:solidFill>
              <w14:schemeClr w14:val="tx1"/>
            </w14:solidFill>
          </w14:textFill>
        </w:rPr>
      </w:pPr>
      <w:r>
        <w:rPr>
          <w:rFonts w:hint="eastAsia"/>
          <w:color w:val="000000"/>
        </w:rPr>
        <w:t>1、本课题组创立的益气活血方药干预糖尿病肾病思路，推广应用于陕西中医药大学附属医院、陕西省中医医院、西安市中心医院、西安第三医院等医疗机构，取得了满意的临床效果及社会效益 。 2、益气活血方药干预糖尿病肾病治疗原则下，确立“糖肾一号胶囊”、“益气活血方”</w:t>
      </w:r>
      <w:r>
        <w:rPr>
          <w:rFonts w:hint="eastAsia"/>
          <w:color w:val="000000"/>
          <w:lang w:eastAsia="zh-CN"/>
        </w:rPr>
        <w:t>、</w:t>
      </w:r>
      <w:r>
        <w:rPr>
          <w:rFonts w:hint="eastAsia"/>
          <w:color w:val="000000"/>
          <w:lang w:val="en-US" w:eastAsia="zh-CN"/>
        </w:rPr>
        <w:t>藏红花素</w:t>
      </w:r>
      <w:r>
        <w:rPr>
          <w:rFonts w:hint="eastAsia"/>
          <w:color w:val="000000"/>
        </w:rPr>
        <w:t>，经过基础研究、动物实验，明确了“糖肾一号胶囊”、“益气活血方”</w:t>
      </w:r>
      <w:r>
        <w:rPr>
          <w:rFonts w:hint="eastAsia"/>
          <w:color w:val="000000"/>
          <w:lang w:eastAsia="zh-CN"/>
        </w:rPr>
        <w:t>“</w:t>
      </w:r>
      <w:r>
        <w:rPr>
          <w:rFonts w:hint="eastAsia"/>
          <w:color w:val="000000"/>
          <w:lang w:val="en-US" w:eastAsia="zh-CN"/>
        </w:rPr>
        <w:t>藏红花素</w:t>
      </w:r>
      <w:r>
        <w:rPr>
          <w:rFonts w:hint="eastAsia"/>
          <w:color w:val="000000"/>
          <w:lang w:eastAsia="zh-CN"/>
        </w:rPr>
        <w:t>”</w:t>
      </w:r>
      <w:r>
        <w:rPr>
          <w:rFonts w:hint="eastAsia"/>
          <w:color w:val="000000"/>
        </w:rPr>
        <w:t>治疗糖尿病肾病的作用机制 ，为糖尿病肾病临床新药的申报提供理论依据。该机制以论文的形式进行了广泛的报道，受到了广大学者的认可。共发表学术论文：1</w:t>
      </w:r>
      <w:r>
        <w:rPr>
          <w:rFonts w:hint="eastAsia"/>
          <w:color w:val="000000"/>
          <w:lang w:val="en-US" w:eastAsia="zh-CN"/>
        </w:rPr>
        <w:t>6</w:t>
      </w:r>
      <w:r>
        <w:rPr>
          <w:rFonts w:hint="eastAsia"/>
          <w:color w:val="000000"/>
        </w:rPr>
        <w:t>篇，其中CSCD</w:t>
      </w:r>
      <w:r>
        <w:rPr>
          <w:rFonts w:hint="eastAsia"/>
          <w:color w:val="000000"/>
          <w:lang w:val="en-US" w:eastAsia="zh-CN"/>
        </w:rPr>
        <w:t xml:space="preserve"> </w:t>
      </w:r>
      <w:r>
        <w:rPr>
          <w:rFonts w:hint="eastAsia"/>
          <w:color w:val="000000"/>
        </w:rPr>
        <w:t>3篇，</w:t>
      </w:r>
      <w:r>
        <w:rPr>
          <w:rFonts w:hint="eastAsia"/>
          <w:color w:val="000000"/>
          <w:lang w:val="en-US" w:eastAsia="zh-CN"/>
        </w:rPr>
        <w:t>2篇SCI,</w:t>
      </w:r>
      <w:r>
        <w:rPr>
          <w:rFonts w:hint="eastAsia"/>
          <w:color w:val="000000"/>
        </w:rPr>
        <w:t>其他核心期刊</w:t>
      </w:r>
      <w:r>
        <w:rPr>
          <w:rFonts w:hint="eastAsia"/>
          <w:color w:val="000000"/>
          <w:lang w:val="en-US" w:eastAsia="zh-CN"/>
        </w:rPr>
        <w:t>9</w:t>
      </w:r>
      <w:r>
        <w:rPr>
          <w:rFonts w:hint="eastAsia"/>
          <w:color w:val="000000"/>
        </w:rPr>
        <w:t>篇。 3、“糖肾一号胶囊”、“益气活血方”在陕西中医药大学附属医院、陕西省中医医院、西安市中心医院、西安第三医院等</w:t>
      </w:r>
      <w:r>
        <w:rPr>
          <w:rFonts w:hint="eastAsia"/>
          <w:color w:val="000000"/>
          <w:lang w:val="en-US" w:eastAsia="zh-CN"/>
        </w:rPr>
        <w:t>国内</w:t>
      </w:r>
      <w:r>
        <w:rPr>
          <w:rFonts w:hint="eastAsia"/>
          <w:color w:val="000000"/>
        </w:rPr>
        <w:t>多家医院以院内制剂方式应用，不但为患者缓解临床痛苦，而且为推 动当地医疗行业进步做出的重大贡献，在一定程度上促进了当地经济增长。</w:t>
      </w:r>
    </w:p>
    <w:p>
      <w:pPr>
        <w:rPr>
          <w:b/>
          <w:color w:val="000000" w:themeColor="text1"/>
          <w14:textFill>
            <w14:solidFill>
              <w14:schemeClr w14:val="tx1"/>
            </w14:solidFill>
          </w14:textFill>
        </w:rPr>
      </w:pPr>
      <w:bookmarkStart w:id="0" w:name="_GoBack"/>
      <w:bookmarkEnd w:id="0"/>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主要知识产权：</w:t>
      </w:r>
    </w:p>
    <w:tbl>
      <w:tblPr>
        <w:tblStyle w:val="3"/>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418"/>
        <w:gridCol w:w="850"/>
        <w:gridCol w:w="1843"/>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成果</w:t>
            </w:r>
            <w:r>
              <w:rPr>
                <w:b/>
                <w:color w:val="000000" w:themeColor="text1"/>
                <w14:textFill>
                  <w14:solidFill>
                    <w14:schemeClr w14:val="tx1"/>
                  </w14:solidFill>
                </w14:textFill>
              </w:rPr>
              <w:t>名称</w:t>
            </w:r>
          </w:p>
        </w:tc>
        <w:tc>
          <w:tcPr>
            <w:tcW w:w="1418"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刊名</w:t>
            </w:r>
          </w:p>
        </w:tc>
        <w:tc>
          <w:tcPr>
            <w:tcW w:w="850"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第一作者</w:t>
            </w:r>
          </w:p>
        </w:tc>
        <w:tc>
          <w:tcPr>
            <w:tcW w:w="1843"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年卷</w:t>
            </w:r>
            <w:r>
              <w:rPr>
                <w:b/>
                <w:color w:val="000000" w:themeColor="text1"/>
                <w14:textFill>
                  <w14:solidFill>
                    <w14:schemeClr w14:val="tx1"/>
                  </w14:solidFill>
                </w14:textFill>
              </w:rPr>
              <w:t>页码</w:t>
            </w:r>
          </w:p>
        </w:tc>
        <w:tc>
          <w:tcPr>
            <w:tcW w:w="1276"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发表</w:t>
            </w:r>
            <w:r>
              <w:rPr>
                <w:b/>
                <w:color w:val="000000" w:themeColor="text1"/>
                <w14:textFill>
                  <w14:solidFill>
                    <w14:schemeClr w14:val="tx1"/>
                  </w14:solidFill>
                </w14:textFill>
              </w:rPr>
              <w:t>时间</w:t>
            </w:r>
          </w:p>
        </w:tc>
        <w:tc>
          <w:tcPr>
            <w:tcW w:w="850"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知识产</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权归属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000000" w:themeColor="text1"/>
                <w14:textFill>
                  <w14:solidFill>
                    <w14:schemeClr w14:val="tx1"/>
                  </w14:solidFill>
                </w14:textFill>
              </w:rPr>
            </w:pPr>
            <w:r>
              <w:rPr>
                <w:rFonts w:hint="eastAsia"/>
                <w:color w:val="000000"/>
              </w:rPr>
              <w:t>糖肾一号胶囊治疗早期糖尿病肾病3 0例</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中医杂志</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rFonts w:asciiTheme="majorEastAsia" w:hAnsiTheme="majorEastAsia" w:eastAsiaTheme="majorEastAsia"/>
                <w:color w:val="000000" w:themeColor="text1"/>
                <w14:textFill>
                  <w14:solidFill>
                    <w14:schemeClr w14:val="tx1"/>
                  </w14:solidFill>
                </w14:textFill>
              </w:rPr>
            </w:pPr>
            <w:r>
              <w:rPr>
                <w:rFonts w:hint="eastAsia"/>
                <w:color w:val="000000"/>
              </w:rPr>
              <w:t>2010,51（12）:1106-1107</w:t>
            </w:r>
          </w:p>
        </w:tc>
        <w:tc>
          <w:tcPr>
            <w:tcW w:w="1276" w:type="dxa"/>
          </w:tcPr>
          <w:p>
            <w:pPr>
              <w:jc w:val="center"/>
              <w:rPr>
                <w:b/>
                <w:color w:val="000000" w:themeColor="text1"/>
                <w14:textFill>
                  <w14:solidFill>
                    <w14:schemeClr w14:val="tx1"/>
                  </w14:solidFill>
                </w14:textFill>
              </w:rPr>
            </w:pPr>
            <w:r>
              <w:rPr>
                <w:rFonts w:hint="eastAsia"/>
                <w:color w:val="000000"/>
              </w:rPr>
              <w:t>2010-12- 01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w:t>
            </w:r>
            <w:r>
              <w:rPr>
                <w:color w:val="000000" w:themeColor="text1"/>
                <w14:textFill>
                  <w14:solidFill>
                    <w14:schemeClr w14:val="tx1"/>
                  </w14:solidFill>
                </w14:textFill>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FF0000"/>
              </w:rPr>
            </w:pPr>
            <w:r>
              <w:rPr>
                <w:rFonts w:hint="eastAsia"/>
                <w:color w:val="000000"/>
              </w:rPr>
              <w:t>糖肾一号 胶囊对早 期糖尿病肾 病患者血浆A ngⅡ及GMP-1 40影响</w:t>
            </w:r>
          </w:p>
        </w:tc>
        <w:tc>
          <w:tcPr>
            <w:tcW w:w="1418" w:type="dxa"/>
          </w:tcPr>
          <w:p>
            <w:pPr>
              <w:jc w:val="center"/>
              <w:rPr>
                <w:color w:val="FF0000"/>
              </w:rPr>
            </w:pPr>
            <w:r>
              <w:rPr>
                <w:rFonts w:hint="eastAsia"/>
                <w:color w:val="000000"/>
              </w:rPr>
              <w:t>中国实验方剂学杂志</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FF0000"/>
              </w:rPr>
            </w:pPr>
            <w:r>
              <w:rPr>
                <w:rFonts w:hint="eastAsia"/>
                <w:color w:val="000000"/>
              </w:rPr>
              <w:t>2011，17（2）：234-2 35</w:t>
            </w:r>
          </w:p>
        </w:tc>
        <w:tc>
          <w:tcPr>
            <w:tcW w:w="1276" w:type="dxa"/>
          </w:tcPr>
          <w:p>
            <w:pPr>
              <w:jc w:val="center"/>
              <w:rPr>
                <w:b/>
                <w:color w:val="FF0000"/>
              </w:rPr>
            </w:pPr>
            <w:r>
              <w:rPr>
                <w:rFonts w:hint="eastAsia"/>
                <w:color w:val="000000"/>
              </w:rPr>
              <w:t>2011-02- 02</w:t>
            </w:r>
          </w:p>
        </w:tc>
        <w:tc>
          <w:tcPr>
            <w:tcW w:w="850" w:type="dxa"/>
          </w:tcPr>
          <w:p>
            <w:pPr>
              <w:rPr>
                <w:color w:val="FF0000"/>
              </w:rPr>
            </w:pPr>
            <w:r>
              <w:rPr>
                <w:rFonts w:hint="eastAsia"/>
                <w:color w:val="000000" w:themeColor="text1"/>
                <w14:textFill>
                  <w14:solidFill>
                    <w14:schemeClr w14:val="tx1"/>
                  </w14:solidFill>
                </w14:textFill>
              </w:rPr>
              <w:t>归</w:t>
            </w:r>
            <w:r>
              <w:rPr>
                <w:color w:val="000000" w:themeColor="text1"/>
                <w14:textFill>
                  <w14:solidFill>
                    <w14:schemeClr w14:val="tx1"/>
                  </w14:solidFill>
                </w14:textFill>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FF0000"/>
              </w:rPr>
            </w:pPr>
            <w:r>
              <w:rPr>
                <w:rFonts w:hint="eastAsia"/>
                <w:color w:val="000000"/>
              </w:rPr>
              <w:t>糖肾一号胶囊对糖尿病肾病大鼠血清SREBP-1c、SREBP-2c水平及肾组织IRS-1、PI3 K、podocin、CD2AP蛋白表达影响</w:t>
            </w:r>
          </w:p>
        </w:tc>
        <w:tc>
          <w:tcPr>
            <w:tcW w:w="1418" w:type="dxa"/>
          </w:tcPr>
          <w:p>
            <w:pPr>
              <w:jc w:val="center"/>
              <w:rPr>
                <w:b/>
                <w:color w:val="FF0000"/>
              </w:rPr>
            </w:pPr>
            <w:r>
              <w:rPr>
                <w:rFonts w:hint="eastAsia"/>
                <w:color w:val="000000"/>
              </w:rPr>
              <w:t>中药药理与临床</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b/>
                <w:color w:val="FF0000"/>
              </w:rPr>
            </w:pPr>
            <w:r>
              <w:rPr>
                <w:rFonts w:hint="eastAsia"/>
                <w:color w:val="000000"/>
              </w:rPr>
              <w:t>2017,33（5）：140</w:t>
            </w:r>
            <w:r>
              <w:rPr>
                <w:color w:val="000000"/>
              </w:rPr>
              <w:t>-143</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w:t>
            </w:r>
            <w:r>
              <w:rPr>
                <w:color w:val="000000" w:themeColor="text1"/>
                <w14:textFill>
                  <w14:solidFill>
                    <w14:schemeClr w14:val="tx1"/>
                  </w14:solidFill>
                </w14:textFill>
              </w:rPr>
              <w:t>-04-01</w:t>
            </w:r>
          </w:p>
        </w:tc>
        <w:tc>
          <w:tcPr>
            <w:tcW w:w="850" w:type="dxa"/>
          </w:tcPr>
          <w:p>
            <w:pPr>
              <w:rPr>
                <w:b/>
                <w:color w:val="FF0000"/>
              </w:rPr>
            </w:pPr>
            <w:r>
              <w:rPr>
                <w:rFonts w:hint="eastAsia"/>
                <w:color w:val="000000" w:themeColor="text1"/>
                <w14:textFill>
                  <w14:solidFill>
                    <w14:schemeClr w14:val="tx1"/>
                  </w14:solidFill>
                </w14:textFill>
              </w:rPr>
              <w:t>归</w:t>
            </w:r>
            <w:r>
              <w:rPr>
                <w:color w:val="000000" w:themeColor="text1"/>
                <w14:textFill>
                  <w14:solidFill>
                    <w14:schemeClr w14:val="tx1"/>
                  </w14:solidFill>
                </w14:textFill>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FF0000"/>
              </w:rPr>
            </w:pPr>
            <w:r>
              <w:rPr>
                <w:rFonts w:hint="eastAsia"/>
                <w:color w:val="000000"/>
              </w:rPr>
              <w:t>糖肾一号胶囊对糖尿病肾病大鼠的作用及其机制研究</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中草药</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2017,48（19）：4011</w:t>
            </w:r>
            <w:r>
              <w:rPr>
                <w:color w:val="000000" w:themeColor="text1"/>
                <w14:textFill>
                  <w14:solidFill>
                    <w14:schemeClr w14:val="tx1"/>
                  </w14:solidFill>
                </w14:textFill>
              </w:rPr>
              <w:t>-4016</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w:t>
            </w:r>
            <w:r>
              <w:rPr>
                <w:color w:val="000000" w:themeColor="text1"/>
                <w14:textFill>
                  <w14:solidFill>
                    <w14:schemeClr w14:val="tx1"/>
                  </w14:solidFill>
                </w14:textFill>
              </w:rPr>
              <w:t>-04-02</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FF0000"/>
              </w:rPr>
            </w:pPr>
            <w:r>
              <w:rPr>
                <w:rFonts w:hint="eastAsia"/>
                <w:color w:val="000000"/>
              </w:rPr>
              <w:t>Crocin protects podocytes Against Oxidative Stress and Inammation Induced by High Glucose Through Inhibition of NF-κB</w:t>
            </w:r>
          </w:p>
        </w:tc>
        <w:tc>
          <w:tcPr>
            <w:tcW w:w="1418" w:type="dxa"/>
          </w:tcPr>
          <w:p>
            <w:pPr>
              <w:jc w:val="center"/>
              <w:rPr>
                <w:b/>
                <w:color w:val="FF0000"/>
              </w:rPr>
            </w:pPr>
            <w:r>
              <w:rPr>
                <w:rFonts w:hint="eastAsia"/>
                <w:color w:val="000000"/>
              </w:rPr>
              <w:t>Cellular Physiolo gyand Biochemi stry</w:t>
            </w:r>
          </w:p>
        </w:tc>
        <w:tc>
          <w:tcPr>
            <w:tcW w:w="850" w:type="dxa"/>
          </w:tcPr>
          <w:p>
            <w:pPr>
              <w:jc w:val="center"/>
              <w:rPr>
                <w:color w:val="FF0000"/>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utong Li</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2017,42:1481</w:t>
            </w:r>
            <w:r>
              <w:rPr>
                <w:color w:val="000000" w:themeColor="text1"/>
                <w14:textFill>
                  <w14:solidFill>
                    <w14:schemeClr w14:val="tx1"/>
                  </w14:solidFill>
                </w14:textFill>
              </w:rPr>
              <w:t>-1492</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w:t>
            </w:r>
            <w:r>
              <w:rPr>
                <w:color w:val="000000" w:themeColor="text1"/>
                <w14:textFill>
                  <w14:solidFill>
                    <w14:schemeClr w14:val="tx1"/>
                  </w14:solidFill>
                </w14:textFill>
              </w:rPr>
              <w:t>-03-02</w:t>
            </w:r>
          </w:p>
        </w:tc>
        <w:tc>
          <w:tcPr>
            <w:tcW w:w="850" w:type="dxa"/>
          </w:tcPr>
          <w:p>
            <w:pPr>
              <w:rPr>
                <w:b/>
                <w:color w:val="FF0000"/>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Twist Contributes to Proliferation and Epithelial-to-Mesenchymal Transition–Induced Fibrosis by Regulating YB-1 in Human Peritoneal Mesothelial Cells</w:t>
            </w:r>
          </w:p>
        </w:tc>
        <w:tc>
          <w:tcPr>
            <w:tcW w:w="1418" w:type="dxa"/>
          </w:tcPr>
          <w:p>
            <w:pPr>
              <w:jc w:val="center"/>
              <w:rPr>
                <w:color w:val="000000"/>
              </w:rPr>
            </w:pPr>
            <w:r>
              <w:rPr>
                <w:rFonts w:hint="eastAsia"/>
                <w:color w:val="000000"/>
              </w:rPr>
              <w:t>American Journal of Pathology</w:t>
            </w:r>
          </w:p>
        </w:tc>
        <w:tc>
          <w:tcPr>
            <w:tcW w:w="850" w:type="dxa"/>
          </w:tcPr>
          <w:p>
            <w:pPr>
              <w:jc w:val="center"/>
              <w:rPr>
                <w:color w:val="FF0000"/>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utong Li</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2015, 185(8):2181-2193</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2015</w:t>
            </w:r>
            <w:r>
              <w:rPr>
                <w:color w:val="000000" w:themeColor="text1"/>
                <w14:textFill>
                  <w14:solidFill>
                    <w14:schemeClr w14:val="tx1"/>
                  </w14:solidFill>
                </w14:textFill>
              </w:rPr>
              <w:t>-08-01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丹参注射液在肾移植术后早期的应用</w:t>
            </w:r>
          </w:p>
        </w:tc>
        <w:tc>
          <w:tcPr>
            <w:tcW w:w="1418" w:type="dxa"/>
          </w:tcPr>
          <w:p>
            <w:pPr>
              <w:jc w:val="center"/>
              <w:rPr>
                <w:color w:val="000000"/>
              </w:rPr>
            </w:pPr>
            <w:r>
              <w:rPr>
                <w:rFonts w:hint="eastAsia"/>
                <w:color w:val="000000"/>
              </w:rPr>
              <w:t>中国中西医结合杂志</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田</w:t>
            </w:r>
            <w:r>
              <w:rPr>
                <w:color w:val="000000" w:themeColor="text1"/>
                <w14:textFill>
                  <w14:solidFill>
                    <w14:schemeClr w14:val="tx1"/>
                  </w14:solidFill>
                </w14:textFill>
              </w:rPr>
              <w:t>普训</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 25(5):404-407</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w:t>
            </w:r>
            <w:r>
              <w:rPr>
                <w:color w:val="000000" w:themeColor="text1"/>
                <w14:textFill>
                  <w14:solidFill>
                    <w14:schemeClr w14:val="tx1"/>
                  </w14:solidFill>
                </w14:textFill>
              </w:rPr>
              <w:t>-05-01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FF0000"/>
              </w:rPr>
            </w:pPr>
            <w:r>
              <w:rPr>
                <w:rFonts w:hint="eastAsia"/>
                <w:color w:val="000000"/>
              </w:rPr>
              <w:t>糖肾一号胶囊对早期糖尿病肾病血清MMP-9 及TIMP-1水平影响</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中成药</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2011,33（2）: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2-183</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11-02-02</w:t>
            </w:r>
          </w:p>
        </w:tc>
        <w:tc>
          <w:tcPr>
            <w:tcW w:w="850" w:type="dxa"/>
          </w:tcPr>
          <w:p>
            <w:pPr>
              <w:rPr>
                <w:b/>
                <w:color w:val="FF0000"/>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rFonts w:hint="eastAsia"/>
                <w:color w:val="000000"/>
              </w:rPr>
            </w:pPr>
            <w:r>
              <w:rPr>
                <w:rFonts w:hint="eastAsia"/>
                <w:color w:val="000000"/>
              </w:rPr>
              <w:t>健脾固肾活血汤联合厄贝沙坦对糖尿病肾病患者血清sICAM-1、MCP-1以及ET-1水平的影响</w:t>
            </w:r>
          </w:p>
        </w:tc>
        <w:tc>
          <w:tcPr>
            <w:tcW w:w="1418" w:type="dxa"/>
          </w:tcPr>
          <w:p>
            <w:pPr>
              <w:jc w:val="center"/>
              <w:rPr>
                <w:rFonts w:hint="eastAsia"/>
                <w:color w:val="000000"/>
                <w:lang w:eastAsia="zh-CN"/>
              </w:rPr>
            </w:pPr>
            <w:r>
              <w:rPr>
                <w:rFonts w:hint="eastAsia"/>
                <w:color w:val="000000"/>
                <w:lang w:eastAsia="zh-CN"/>
              </w:rPr>
              <w:t>四川中医</w:t>
            </w:r>
          </w:p>
        </w:tc>
        <w:tc>
          <w:tcPr>
            <w:tcW w:w="850" w:type="dxa"/>
          </w:tcPr>
          <w:p>
            <w:pPr>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王惠玲</w:t>
            </w:r>
          </w:p>
        </w:tc>
        <w:tc>
          <w:tcPr>
            <w:tcW w:w="1843"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2018,36(12)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99-102</w:t>
            </w:r>
          </w:p>
        </w:tc>
        <w:tc>
          <w:tcPr>
            <w:tcW w:w="1276" w:type="dxa"/>
          </w:tcPr>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2018-12-15</w:t>
            </w:r>
          </w:p>
        </w:tc>
        <w:tc>
          <w:tcPr>
            <w:tcW w:w="850" w:type="dxa"/>
          </w:tcPr>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b/>
                <w:color w:val="FF0000"/>
              </w:rPr>
            </w:pPr>
            <w:r>
              <w:rPr>
                <w:rFonts w:hint="eastAsia"/>
                <w:color w:val="000000"/>
              </w:rPr>
              <w:t>糖肾1号方对早期DN血清M MP–2、TIMP –1指标影响</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现代</w:t>
            </w:r>
            <w:r>
              <w:rPr>
                <w:color w:val="000000" w:themeColor="text1"/>
                <w14:textFill>
                  <w14:solidFill>
                    <w14:schemeClr w14:val="tx1"/>
                  </w14:solidFill>
                </w14:textFill>
              </w:rPr>
              <w:t>中医药</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2008,28（6）：8</w:t>
            </w:r>
            <w:r>
              <w:rPr>
                <w:color w:val="000000" w:themeColor="text1"/>
                <w14:textFill>
                  <w14:solidFill>
                    <w14:schemeClr w14:val="tx1"/>
                  </w14:solidFill>
                </w14:textFill>
              </w:rPr>
              <w:t>-9</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2008</w:t>
            </w:r>
            <w:r>
              <w:rPr>
                <w:color w:val="000000" w:themeColor="text1"/>
                <w14:textFill>
                  <w14:solidFill>
                    <w14:schemeClr w14:val="tx1"/>
                  </w14:solidFill>
                </w14:textFill>
              </w:rPr>
              <w:t>-11-01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w:t>
            </w:r>
            <w:r>
              <w:rPr>
                <w:color w:val="000000" w:themeColor="text1"/>
                <w14:textFill>
                  <w14:solidFill>
                    <w14:schemeClr w14:val="tx1"/>
                  </w14:solidFill>
                </w14:textFill>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自拟益气活血方对早期糖尿病肾病大鼠GEs 及TGF_1表达的实验研究</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四川中医</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2014,32（4）：68</w:t>
            </w:r>
            <w:r>
              <w:rPr>
                <w:color w:val="000000" w:themeColor="text1"/>
                <w14:textFill>
                  <w14:solidFill>
                    <w14:schemeClr w14:val="tx1"/>
                  </w14:solidFill>
                </w14:textFill>
              </w:rPr>
              <w:t>-69</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2014</w:t>
            </w:r>
            <w:r>
              <w:rPr>
                <w:color w:val="000000" w:themeColor="text1"/>
                <w14:textFill>
                  <w14:solidFill>
                    <w14:schemeClr w14:val="tx1"/>
                  </w14:solidFill>
                </w14:textFill>
              </w:rPr>
              <w:t>-04-01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益气活血方对早期DN大 鼠肾脏PKC、TGF-β1及血清Chol、TG 的影响</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现代</w:t>
            </w:r>
            <w:r>
              <w:rPr>
                <w:color w:val="000000" w:themeColor="text1"/>
                <w14:textFill>
                  <w14:solidFill>
                    <w14:schemeClr w14:val="tx1"/>
                  </w14:solidFill>
                </w14:textFill>
              </w:rPr>
              <w:t>中医药</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2014,34（1）：78</w:t>
            </w:r>
            <w:r>
              <w:rPr>
                <w:color w:val="000000" w:themeColor="text1"/>
                <w14:textFill>
                  <w14:solidFill>
                    <w14:schemeClr w14:val="tx1"/>
                  </w14:solidFill>
                </w14:textFill>
              </w:rPr>
              <w:t>-79</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2014</w:t>
            </w:r>
            <w:r>
              <w:rPr>
                <w:color w:val="000000" w:themeColor="text1"/>
                <w14:textFill>
                  <w14:solidFill>
                    <w14:schemeClr w14:val="tx1"/>
                  </w14:solidFill>
                </w14:textFill>
              </w:rPr>
              <w:t>-01-01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IL-10/TGF-β诱导的巨噬细胞对肾缺血再灌注损伤的作用研究</w:t>
            </w:r>
          </w:p>
        </w:tc>
        <w:tc>
          <w:tcPr>
            <w:tcW w:w="1418" w:type="dxa"/>
          </w:tcPr>
          <w:p>
            <w:pPr>
              <w:jc w:val="center"/>
              <w:rPr>
                <w:color w:val="000000" w:themeColor="text1"/>
                <w14:textFill>
                  <w14:solidFill>
                    <w14:schemeClr w14:val="tx1"/>
                  </w14:solidFill>
                </w14:textFill>
              </w:rPr>
            </w:pPr>
            <w:r>
              <w:rPr>
                <w:rFonts w:hint="eastAsia"/>
                <w:color w:val="000000"/>
              </w:rPr>
              <w:t>中华器官移植杂志</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田</w:t>
            </w:r>
            <w:r>
              <w:rPr>
                <w:color w:val="000000" w:themeColor="text1"/>
                <w14:textFill>
                  <w14:solidFill>
                    <w14:schemeClr w14:val="tx1"/>
                  </w14:solidFill>
                </w14:textFill>
              </w:rPr>
              <w:t>普训</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 38(12):734-740</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2017</w:t>
            </w:r>
            <w:r>
              <w:rPr>
                <w:color w:val="000000" w:themeColor="text1"/>
                <w14:textFill>
                  <w14:solidFill>
                    <w14:schemeClr w14:val="tx1"/>
                  </w14:solidFill>
                </w14:textFill>
              </w:rPr>
              <w:t>-12-01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自拟益气活血方对DN大鼠模型早期影响的实验研究</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陕西中医</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2014,35（1）：114</w:t>
            </w:r>
            <w:r>
              <w:rPr>
                <w:color w:val="000000" w:themeColor="text1"/>
                <w14:textFill>
                  <w14:solidFill>
                    <w14:schemeClr w14:val="tx1"/>
                  </w14:solidFill>
                </w14:textFill>
              </w:rPr>
              <w:t>-115</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2014</w:t>
            </w:r>
            <w:r>
              <w:rPr>
                <w:color w:val="000000" w:themeColor="text1"/>
                <w14:textFill>
                  <w14:solidFill>
                    <w14:schemeClr w14:val="tx1"/>
                  </w14:solidFill>
                </w14:textFill>
              </w:rPr>
              <w:t>-01-04</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益气活血方对早期DN大鼠肾脏TGF-β1／S</w:t>
            </w:r>
            <w:r>
              <w:rPr>
                <w:color w:val="000000"/>
              </w:rPr>
              <w:t>mads</w:t>
            </w:r>
            <w:r>
              <w:rPr>
                <w:rFonts w:hint="eastAsia"/>
                <w:color w:val="000000"/>
              </w:rPr>
              <w:t>表达的实验研究</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陕西中医</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2013,34（9）：1259</w:t>
            </w:r>
            <w:r>
              <w:rPr>
                <w:color w:val="000000" w:themeColor="text1"/>
                <w14:textFill>
                  <w14:solidFill>
                    <w14:schemeClr w14:val="tx1"/>
                  </w14:solidFill>
                </w14:textFill>
              </w:rPr>
              <w:t>-1260</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2013</w:t>
            </w:r>
            <w:r>
              <w:rPr>
                <w:color w:val="000000" w:themeColor="text1"/>
                <w14:textFill>
                  <w14:solidFill>
                    <w14:schemeClr w14:val="tx1"/>
                  </w14:solidFill>
                </w14:textFill>
              </w:rPr>
              <w:t>-09-05</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tcPr>
          <w:p>
            <w:pPr>
              <w:jc w:val="center"/>
              <w:rPr>
                <w:color w:val="000000"/>
              </w:rPr>
            </w:pPr>
            <w:r>
              <w:rPr>
                <w:rFonts w:hint="eastAsia"/>
                <w:color w:val="000000"/>
              </w:rPr>
              <w:t>糖肾一号胶囊对早期糖尿病肾病大鼠血清TXB2、6-keto-PG F1α及ET影响</w:t>
            </w:r>
          </w:p>
        </w:tc>
        <w:tc>
          <w:tcPr>
            <w:tcW w:w="141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陕西中医</w:t>
            </w:r>
          </w:p>
        </w:tc>
        <w:tc>
          <w:tcPr>
            <w:tcW w:w="85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苏衍进</w:t>
            </w:r>
          </w:p>
        </w:tc>
        <w:tc>
          <w:tcPr>
            <w:tcW w:w="1843"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2015,36（10）：1434</w:t>
            </w:r>
            <w:r>
              <w:rPr>
                <w:color w:val="000000" w:themeColor="text1"/>
                <w14:textFill>
                  <w14:solidFill>
                    <w14:schemeClr w14:val="tx1"/>
                  </w14:solidFill>
                </w14:textFill>
              </w:rPr>
              <w:t>-1435</w:t>
            </w:r>
          </w:p>
        </w:tc>
        <w:tc>
          <w:tcPr>
            <w:tcW w:w="1276"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2015</w:t>
            </w:r>
            <w:r>
              <w:rPr>
                <w:color w:val="000000" w:themeColor="text1"/>
                <w14:textFill>
                  <w14:solidFill>
                    <w14:schemeClr w14:val="tx1"/>
                  </w14:solidFill>
                </w14:textFill>
              </w:rPr>
              <w:t>-10-01</w:t>
            </w:r>
          </w:p>
        </w:tc>
        <w:tc>
          <w:tcPr>
            <w:tcW w:w="85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归国内</w:t>
            </w:r>
          </w:p>
        </w:tc>
      </w:tr>
    </w:tbl>
    <w:p>
      <w:pPr>
        <w:rPr>
          <w:b/>
          <w:color w:val="FF0000"/>
        </w:rPr>
      </w:pPr>
    </w:p>
    <w:p>
      <w:pPr>
        <w:rPr>
          <w:b/>
          <w:color w:val="FF0000"/>
        </w:rPr>
      </w:pPr>
    </w:p>
    <w:p/>
    <w:p>
      <w:r>
        <w:rPr>
          <w:rFonts w:hint="eastAsia"/>
          <w:b/>
        </w:rPr>
        <w:t>主要完成人情况：</w:t>
      </w:r>
      <w:r>
        <w:rPr>
          <w:rFonts w:hint="eastAsia"/>
        </w:rPr>
        <w:t xml:space="preserve"> </w:t>
      </w:r>
    </w:p>
    <w:tbl>
      <w:tblPr>
        <w:tblStyle w:val="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
        <w:gridCol w:w="1276"/>
        <w:gridCol w:w="708"/>
        <w:gridCol w:w="1560"/>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b/>
              </w:rPr>
            </w:pPr>
            <w:r>
              <w:rPr>
                <w:rFonts w:hint="eastAsia"/>
                <w:b/>
              </w:rPr>
              <w:t>姓名</w:t>
            </w:r>
          </w:p>
        </w:tc>
        <w:tc>
          <w:tcPr>
            <w:tcW w:w="567" w:type="dxa"/>
          </w:tcPr>
          <w:p>
            <w:pPr>
              <w:jc w:val="center"/>
              <w:rPr>
                <w:b/>
              </w:rPr>
            </w:pPr>
            <w:r>
              <w:rPr>
                <w:rFonts w:hint="eastAsia"/>
                <w:b/>
              </w:rPr>
              <w:t>排名</w:t>
            </w:r>
          </w:p>
        </w:tc>
        <w:tc>
          <w:tcPr>
            <w:tcW w:w="1276" w:type="dxa"/>
          </w:tcPr>
          <w:p>
            <w:pPr>
              <w:jc w:val="center"/>
              <w:rPr>
                <w:b/>
              </w:rPr>
            </w:pPr>
            <w:r>
              <w:rPr>
                <w:rFonts w:hint="eastAsia"/>
                <w:b/>
              </w:rPr>
              <w:t>行政</w:t>
            </w:r>
            <w:r>
              <w:rPr>
                <w:b/>
              </w:rPr>
              <w:t>职务</w:t>
            </w:r>
          </w:p>
        </w:tc>
        <w:tc>
          <w:tcPr>
            <w:tcW w:w="708" w:type="dxa"/>
          </w:tcPr>
          <w:p>
            <w:pPr>
              <w:jc w:val="center"/>
              <w:rPr>
                <w:b/>
              </w:rPr>
            </w:pPr>
            <w:r>
              <w:rPr>
                <w:rFonts w:hint="eastAsia"/>
                <w:b/>
              </w:rPr>
              <w:t>技术职称</w:t>
            </w:r>
          </w:p>
        </w:tc>
        <w:tc>
          <w:tcPr>
            <w:tcW w:w="1560" w:type="dxa"/>
          </w:tcPr>
          <w:p>
            <w:pPr>
              <w:jc w:val="center"/>
              <w:rPr>
                <w:b/>
              </w:rPr>
            </w:pPr>
            <w:r>
              <w:rPr>
                <w:rFonts w:hint="eastAsia"/>
                <w:b/>
              </w:rPr>
              <w:t>工作</w:t>
            </w:r>
            <w:r>
              <w:rPr>
                <w:b/>
              </w:rPr>
              <w:t>单位</w:t>
            </w:r>
          </w:p>
        </w:tc>
        <w:tc>
          <w:tcPr>
            <w:tcW w:w="1559" w:type="dxa"/>
          </w:tcPr>
          <w:p>
            <w:pPr>
              <w:jc w:val="center"/>
              <w:rPr>
                <w:b/>
              </w:rPr>
            </w:pPr>
            <w:r>
              <w:rPr>
                <w:rFonts w:hint="eastAsia"/>
                <w:b/>
              </w:rPr>
              <w:t>完成单位</w:t>
            </w:r>
          </w:p>
        </w:tc>
        <w:tc>
          <w:tcPr>
            <w:tcW w:w="2551" w:type="dxa"/>
          </w:tcPr>
          <w:p>
            <w:pPr>
              <w:jc w:val="center"/>
              <w:rPr>
                <w:b/>
              </w:rPr>
            </w:pPr>
            <w:r>
              <w:rPr>
                <w:rFonts w:hint="eastAsia"/>
                <w:b/>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rFonts w:asciiTheme="minorEastAsia" w:hAnsiTheme="minorEastAsia"/>
              </w:rPr>
            </w:pPr>
            <w:r>
              <w:rPr>
                <w:rFonts w:hint="eastAsia" w:asciiTheme="minorEastAsia" w:hAnsiTheme="minorEastAsia"/>
              </w:rPr>
              <w:t>苏衍进</w:t>
            </w:r>
          </w:p>
        </w:tc>
        <w:tc>
          <w:tcPr>
            <w:tcW w:w="567" w:type="dxa"/>
          </w:tcPr>
          <w:p>
            <w:pPr>
              <w:jc w:val="center"/>
              <w:rPr>
                <w:rFonts w:asciiTheme="minorEastAsia" w:hAnsiTheme="minorEastAsia"/>
              </w:rPr>
            </w:pPr>
            <w:r>
              <w:rPr>
                <w:rFonts w:hint="eastAsia" w:asciiTheme="minorEastAsia" w:hAnsiTheme="minorEastAsia"/>
              </w:rPr>
              <w:t>1</w:t>
            </w:r>
          </w:p>
        </w:tc>
        <w:tc>
          <w:tcPr>
            <w:tcW w:w="1276" w:type="dxa"/>
          </w:tcPr>
          <w:p>
            <w:pPr>
              <w:jc w:val="center"/>
              <w:rPr>
                <w:rFonts w:asciiTheme="minorEastAsia" w:hAnsiTheme="minorEastAsia"/>
              </w:rPr>
            </w:pPr>
            <w:r>
              <w:rPr>
                <w:rFonts w:hint="eastAsia" w:asciiTheme="minorEastAsia" w:hAnsiTheme="minorEastAsia"/>
              </w:rPr>
              <w:t>科主任</w:t>
            </w:r>
          </w:p>
        </w:tc>
        <w:tc>
          <w:tcPr>
            <w:tcW w:w="708" w:type="dxa"/>
          </w:tcPr>
          <w:p>
            <w:pPr>
              <w:jc w:val="center"/>
              <w:rPr>
                <w:rFonts w:asciiTheme="minorEastAsia" w:hAnsiTheme="minorEastAsia"/>
              </w:rPr>
            </w:pPr>
            <w:r>
              <w:rPr>
                <w:rFonts w:hint="eastAsia" w:asciiTheme="minorEastAsia" w:hAnsiTheme="minorEastAsia"/>
              </w:rPr>
              <w:t>高级</w:t>
            </w:r>
          </w:p>
        </w:tc>
        <w:tc>
          <w:tcPr>
            <w:tcW w:w="1560" w:type="dxa"/>
          </w:tcPr>
          <w:p>
            <w:pPr>
              <w:jc w:val="center"/>
              <w:rPr>
                <w:rFonts w:asciiTheme="minorEastAsia" w:hAnsiTheme="minorEastAsia"/>
              </w:rPr>
            </w:pPr>
            <w:r>
              <w:rPr>
                <w:rFonts w:hint="eastAsia" w:asciiTheme="minorEastAsia" w:hAnsiTheme="minorEastAsia"/>
              </w:rPr>
              <w:t>陕西中医药大学</w:t>
            </w:r>
          </w:p>
        </w:tc>
        <w:tc>
          <w:tcPr>
            <w:tcW w:w="1559" w:type="dxa"/>
          </w:tcPr>
          <w:p>
            <w:pPr>
              <w:jc w:val="center"/>
              <w:rPr>
                <w:rFonts w:asciiTheme="minorEastAsia" w:hAnsiTheme="minorEastAsia"/>
              </w:rPr>
            </w:pPr>
            <w:r>
              <w:rPr>
                <w:rFonts w:hint="eastAsia" w:asciiTheme="minorEastAsia" w:hAnsiTheme="minorEastAsia"/>
              </w:rPr>
              <w:t>陕西中医药大学</w:t>
            </w:r>
          </w:p>
        </w:tc>
        <w:tc>
          <w:tcPr>
            <w:tcW w:w="2551" w:type="dxa"/>
          </w:tcPr>
          <w:p>
            <w:pPr>
              <w:jc w:val="center"/>
              <w:rPr>
                <w:rFonts w:asciiTheme="minorEastAsia" w:hAnsiTheme="minorEastAsia"/>
              </w:rPr>
            </w:pPr>
            <w:r>
              <w:rPr>
                <w:rFonts w:hint="eastAsia"/>
                <w:color w:val="000000"/>
              </w:rPr>
              <w:t>主持、申报、实施与总结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rFonts w:asciiTheme="minorEastAsia" w:hAnsiTheme="minorEastAsia"/>
              </w:rPr>
            </w:pPr>
            <w:r>
              <w:rPr>
                <w:rFonts w:hint="eastAsia" w:asciiTheme="minorEastAsia" w:hAnsiTheme="minorEastAsia"/>
              </w:rPr>
              <w:t>王惠玲</w:t>
            </w:r>
          </w:p>
        </w:tc>
        <w:tc>
          <w:tcPr>
            <w:tcW w:w="567" w:type="dxa"/>
          </w:tcPr>
          <w:p>
            <w:pPr>
              <w:jc w:val="center"/>
              <w:rPr>
                <w:rFonts w:asciiTheme="minorEastAsia" w:hAnsiTheme="minorEastAsia"/>
              </w:rPr>
            </w:pPr>
            <w:r>
              <w:rPr>
                <w:rFonts w:asciiTheme="minorEastAsia" w:hAnsiTheme="minorEastAsia"/>
              </w:rPr>
              <w:t>2</w:t>
            </w:r>
          </w:p>
        </w:tc>
        <w:tc>
          <w:tcPr>
            <w:tcW w:w="1276" w:type="dxa"/>
          </w:tcPr>
          <w:p>
            <w:pPr>
              <w:jc w:val="center"/>
              <w:rPr>
                <w:rFonts w:asciiTheme="minorEastAsia" w:hAnsiTheme="minorEastAsia"/>
              </w:rPr>
            </w:pPr>
            <w:r>
              <w:rPr>
                <w:rFonts w:hint="eastAsia" w:asciiTheme="minorEastAsia" w:hAnsiTheme="minorEastAsia"/>
              </w:rPr>
              <w:t>无</w:t>
            </w:r>
          </w:p>
        </w:tc>
        <w:tc>
          <w:tcPr>
            <w:tcW w:w="708" w:type="dxa"/>
          </w:tcPr>
          <w:p>
            <w:pPr>
              <w:jc w:val="center"/>
              <w:rPr>
                <w:rFonts w:asciiTheme="minorEastAsia" w:hAnsiTheme="minorEastAsia"/>
              </w:rPr>
            </w:pPr>
            <w:r>
              <w:rPr>
                <w:rFonts w:hint="eastAsia" w:asciiTheme="minorEastAsia" w:hAnsiTheme="minorEastAsia"/>
              </w:rPr>
              <w:t>中级</w:t>
            </w:r>
          </w:p>
        </w:tc>
        <w:tc>
          <w:tcPr>
            <w:tcW w:w="1560" w:type="dxa"/>
          </w:tcPr>
          <w:p>
            <w:pPr>
              <w:jc w:val="center"/>
              <w:rPr>
                <w:rFonts w:asciiTheme="minorEastAsia" w:hAnsiTheme="minorEastAsia"/>
              </w:rPr>
            </w:pPr>
            <w:r>
              <w:rPr>
                <w:rFonts w:hint="eastAsia" w:asciiTheme="minorEastAsia" w:hAnsiTheme="minorEastAsia"/>
              </w:rPr>
              <w:t>陕西中医药大学</w:t>
            </w:r>
          </w:p>
        </w:tc>
        <w:tc>
          <w:tcPr>
            <w:tcW w:w="1559" w:type="dxa"/>
          </w:tcPr>
          <w:p>
            <w:pPr>
              <w:jc w:val="center"/>
              <w:rPr>
                <w:rFonts w:asciiTheme="minorEastAsia" w:hAnsiTheme="minorEastAsia"/>
              </w:rPr>
            </w:pPr>
            <w:r>
              <w:rPr>
                <w:rFonts w:hint="eastAsia" w:asciiTheme="minorEastAsia" w:hAnsiTheme="minorEastAsia"/>
              </w:rPr>
              <w:t>陕西中医药大学</w:t>
            </w:r>
          </w:p>
        </w:tc>
        <w:tc>
          <w:tcPr>
            <w:tcW w:w="2551" w:type="dxa"/>
          </w:tcPr>
          <w:p>
            <w:pPr>
              <w:jc w:val="center"/>
              <w:rPr>
                <w:rFonts w:hint="default" w:asciiTheme="minorEastAsia" w:hAnsiTheme="minorEastAsia" w:eastAsiaTheme="minorEastAsia"/>
                <w:lang w:val="en-US" w:eastAsia="zh-CN"/>
              </w:rPr>
            </w:pPr>
            <w:r>
              <w:rPr>
                <w:rFonts w:hint="eastAsia"/>
                <w:color w:val="000000"/>
                <w:lang w:val="en-US" w:eastAsia="zh-CN"/>
              </w:rPr>
              <w:t>参与相关课题实施及文章撰写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rFonts w:asciiTheme="minorEastAsia" w:hAnsiTheme="minorEastAsia"/>
              </w:rPr>
            </w:pPr>
            <w:r>
              <w:rPr>
                <w:rFonts w:hint="eastAsia" w:asciiTheme="minorEastAsia" w:hAnsiTheme="minorEastAsia"/>
              </w:rPr>
              <w:t>田</w:t>
            </w:r>
            <w:r>
              <w:rPr>
                <w:rFonts w:asciiTheme="minorEastAsia" w:hAnsiTheme="minorEastAsia"/>
              </w:rPr>
              <w:t>普训</w:t>
            </w:r>
          </w:p>
        </w:tc>
        <w:tc>
          <w:tcPr>
            <w:tcW w:w="567" w:type="dxa"/>
          </w:tcPr>
          <w:p>
            <w:pPr>
              <w:jc w:val="center"/>
              <w:rPr>
                <w:rFonts w:asciiTheme="minorEastAsia" w:hAnsiTheme="minorEastAsia"/>
              </w:rPr>
            </w:pPr>
            <w:r>
              <w:rPr>
                <w:rFonts w:asciiTheme="minorEastAsia" w:hAnsiTheme="minorEastAsia"/>
              </w:rPr>
              <w:t>3</w:t>
            </w:r>
          </w:p>
        </w:tc>
        <w:tc>
          <w:tcPr>
            <w:tcW w:w="1276" w:type="dxa"/>
          </w:tcPr>
          <w:p>
            <w:pPr>
              <w:jc w:val="center"/>
              <w:rPr>
                <w:rFonts w:asciiTheme="minorEastAsia" w:hAnsiTheme="minorEastAsia"/>
              </w:rPr>
            </w:pPr>
            <w:r>
              <w:rPr>
                <w:rFonts w:hint="eastAsia" w:asciiTheme="minorEastAsia" w:hAnsiTheme="minorEastAsia"/>
              </w:rPr>
              <w:t>西安交通大学第一附属医院肾脏病医院副院长，肾移植科前主任</w:t>
            </w:r>
          </w:p>
        </w:tc>
        <w:tc>
          <w:tcPr>
            <w:tcW w:w="708" w:type="dxa"/>
          </w:tcPr>
          <w:p>
            <w:pPr>
              <w:jc w:val="center"/>
              <w:rPr>
                <w:rFonts w:asciiTheme="minorEastAsia" w:hAnsiTheme="minorEastAsia"/>
              </w:rPr>
            </w:pPr>
            <w:r>
              <w:rPr>
                <w:rFonts w:hint="eastAsia" w:asciiTheme="minorEastAsia" w:hAnsiTheme="minorEastAsia"/>
              </w:rPr>
              <w:t>高级</w:t>
            </w:r>
          </w:p>
        </w:tc>
        <w:tc>
          <w:tcPr>
            <w:tcW w:w="1560" w:type="dxa"/>
          </w:tcPr>
          <w:p>
            <w:pPr>
              <w:jc w:val="center"/>
              <w:rPr>
                <w:rFonts w:hint="default" w:asciiTheme="minorEastAsia" w:hAnsiTheme="minorEastAsia" w:eastAsiaTheme="minorEastAsia"/>
                <w:lang w:val="en-US" w:eastAsia="zh-CN"/>
              </w:rPr>
            </w:pPr>
            <w:r>
              <w:rPr>
                <w:rFonts w:hint="eastAsia" w:asciiTheme="minorEastAsia" w:hAnsiTheme="minorEastAsia"/>
              </w:rPr>
              <w:t>西安</w:t>
            </w:r>
            <w:r>
              <w:rPr>
                <w:rFonts w:asciiTheme="minorEastAsia" w:hAnsiTheme="minorEastAsia"/>
              </w:rPr>
              <w:t>交通大学</w:t>
            </w:r>
            <w:r>
              <w:rPr>
                <w:rFonts w:hint="eastAsia" w:asciiTheme="minorEastAsia" w:hAnsiTheme="minorEastAsia"/>
                <w:lang w:val="en-US" w:eastAsia="zh-CN"/>
              </w:rPr>
              <w:t>第一附属医院</w:t>
            </w:r>
          </w:p>
        </w:tc>
        <w:tc>
          <w:tcPr>
            <w:tcW w:w="1559" w:type="dxa"/>
          </w:tcPr>
          <w:p>
            <w:pPr>
              <w:jc w:val="center"/>
              <w:rPr>
                <w:rFonts w:asciiTheme="minorEastAsia" w:hAnsiTheme="minorEastAsia"/>
              </w:rPr>
            </w:pPr>
            <w:r>
              <w:rPr>
                <w:rFonts w:hint="eastAsia" w:asciiTheme="minorEastAsia" w:hAnsiTheme="minorEastAsia"/>
              </w:rPr>
              <w:t>西安</w:t>
            </w:r>
            <w:r>
              <w:rPr>
                <w:rFonts w:asciiTheme="minorEastAsia" w:hAnsiTheme="minorEastAsia"/>
              </w:rPr>
              <w:t>交通大学</w:t>
            </w:r>
            <w:r>
              <w:rPr>
                <w:rFonts w:hint="eastAsia" w:asciiTheme="minorEastAsia" w:hAnsiTheme="minorEastAsia"/>
                <w:lang w:val="en-US" w:eastAsia="zh-CN"/>
              </w:rPr>
              <w:t>第一附属医院</w:t>
            </w:r>
          </w:p>
        </w:tc>
        <w:tc>
          <w:tcPr>
            <w:tcW w:w="2551" w:type="dxa"/>
          </w:tcPr>
          <w:p>
            <w:pPr>
              <w:jc w:val="center"/>
              <w:rPr>
                <w:rFonts w:asciiTheme="minorEastAsia" w:hAnsiTheme="minorEastAsia"/>
              </w:rPr>
            </w:pPr>
            <w:r>
              <w:rPr>
                <w:rFonts w:hint="eastAsia"/>
                <w:color w:val="000000"/>
                <w:lang w:val="en-US" w:eastAsia="zh-CN"/>
              </w:rPr>
              <w:t>参与相关课题指导、实施及文章撰写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rFonts w:asciiTheme="minorEastAsia" w:hAnsiTheme="minorEastAsia"/>
              </w:rPr>
            </w:pPr>
            <w:r>
              <w:rPr>
                <w:rFonts w:hint="eastAsia" w:asciiTheme="minorEastAsia" w:hAnsiTheme="minorEastAsia"/>
              </w:rPr>
              <w:t>王郁金</w:t>
            </w:r>
          </w:p>
        </w:tc>
        <w:tc>
          <w:tcPr>
            <w:tcW w:w="567" w:type="dxa"/>
          </w:tcPr>
          <w:p>
            <w:pPr>
              <w:jc w:val="center"/>
              <w:rPr>
                <w:rFonts w:asciiTheme="minorEastAsia" w:hAnsiTheme="minorEastAsia"/>
              </w:rPr>
            </w:pPr>
            <w:r>
              <w:rPr>
                <w:rFonts w:asciiTheme="minorEastAsia" w:hAnsiTheme="minorEastAsia"/>
              </w:rPr>
              <w:t>4</w:t>
            </w:r>
          </w:p>
        </w:tc>
        <w:tc>
          <w:tcPr>
            <w:tcW w:w="1276" w:type="dxa"/>
          </w:tcPr>
          <w:p>
            <w:pPr>
              <w:jc w:val="center"/>
              <w:rPr>
                <w:rFonts w:asciiTheme="minorEastAsia" w:hAnsiTheme="minorEastAsia"/>
              </w:rPr>
            </w:pPr>
            <w:r>
              <w:rPr>
                <w:rFonts w:hint="eastAsia" w:asciiTheme="minorEastAsia" w:hAnsiTheme="minorEastAsia"/>
              </w:rPr>
              <w:t>无</w:t>
            </w:r>
          </w:p>
        </w:tc>
        <w:tc>
          <w:tcPr>
            <w:tcW w:w="708" w:type="dxa"/>
          </w:tcPr>
          <w:p>
            <w:pPr>
              <w:jc w:val="center"/>
              <w:rPr>
                <w:rFonts w:asciiTheme="minorEastAsia" w:hAnsiTheme="minorEastAsia"/>
              </w:rPr>
            </w:pPr>
            <w:r>
              <w:rPr>
                <w:rFonts w:hint="eastAsia" w:asciiTheme="minorEastAsia" w:hAnsiTheme="minorEastAsia"/>
              </w:rPr>
              <w:t>高级</w:t>
            </w:r>
          </w:p>
        </w:tc>
        <w:tc>
          <w:tcPr>
            <w:tcW w:w="1560" w:type="dxa"/>
          </w:tcPr>
          <w:p>
            <w:pPr>
              <w:jc w:val="center"/>
              <w:rPr>
                <w:rFonts w:asciiTheme="minorEastAsia" w:hAnsiTheme="minorEastAsia"/>
              </w:rPr>
            </w:pPr>
            <w:r>
              <w:rPr>
                <w:rFonts w:hint="eastAsia" w:asciiTheme="minorEastAsia" w:hAnsiTheme="minorEastAsia"/>
              </w:rPr>
              <w:t>陕西中医药大学</w:t>
            </w:r>
          </w:p>
        </w:tc>
        <w:tc>
          <w:tcPr>
            <w:tcW w:w="1559" w:type="dxa"/>
          </w:tcPr>
          <w:p>
            <w:pPr>
              <w:jc w:val="center"/>
              <w:rPr>
                <w:rFonts w:asciiTheme="minorEastAsia" w:hAnsiTheme="minorEastAsia"/>
              </w:rPr>
            </w:pPr>
            <w:r>
              <w:rPr>
                <w:rFonts w:hint="eastAsia" w:asciiTheme="minorEastAsia" w:hAnsiTheme="minorEastAsia"/>
              </w:rPr>
              <w:t>陕西中医药大学</w:t>
            </w:r>
          </w:p>
        </w:tc>
        <w:tc>
          <w:tcPr>
            <w:tcW w:w="2551" w:type="dxa"/>
          </w:tcPr>
          <w:p>
            <w:pPr>
              <w:jc w:val="center"/>
              <w:rPr>
                <w:rFonts w:asciiTheme="minorEastAsia" w:hAnsiTheme="minorEastAsia"/>
              </w:rPr>
            </w:pPr>
            <w:r>
              <w:rPr>
                <w:rFonts w:hint="eastAsia"/>
                <w:color w:val="000000"/>
                <w:lang w:val="en-US" w:eastAsia="zh-CN"/>
              </w:rPr>
              <w:t>参与相关课题实施及文章撰写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rFonts w:asciiTheme="minorEastAsia" w:hAnsiTheme="minorEastAsia"/>
              </w:rPr>
            </w:pPr>
            <w:r>
              <w:rPr>
                <w:rFonts w:hint="eastAsia" w:asciiTheme="minorEastAsia" w:hAnsiTheme="minorEastAsia"/>
              </w:rPr>
              <w:t>李苏童</w:t>
            </w:r>
          </w:p>
        </w:tc>
        <w:tc>
          <w:tcPr>
            <w:tcW w:w="567" w:type="dxa"/>
          </w:tcPr>
          <w:p>
            <w:pPr>
              <w:jc w:val="center"/>
              <w:rPr>
                <w:rFonts w:asciiTheme="minorEastAsia" w:hAnsiTheme="minorEastAsia"/>
              </w:rPr>
            </w:pPr>
            <w:r>
              <w:rPr>
                <w:rFonts w:asciiTheme="minorEastAsia" w:hAnsiTheme="minorEastAsia"/>
              </w:rPr>
              <w:t>5</w:t>
            </w:r>
          </w:p>
        </w:tc>
        <w:tc>
          <w:tcPr>
            <w:tcW w:w="1276" w:type="dxa"/>
          </w:tcPr>
          <w:p>
            <w:pPr>
              <w:jc w:val="center"/>
              <w:rPr>
                <w:rFonts w:asciiTheme="minorEastAsia" w:hAnsiTheme="minorEastAsia"/>
              </w:rPr>
            </w:pPr>
            <w:r>
              <w:rPr>
                <w:rFonts w:hint="eastAsia" w:asciiTheme="minorEastAsia" w:hAnsiTheme="minorEastAsia"/>
              </w:rPr>
              <w:t>科主任</w:t>
            </w:r>
          </w:p>
        </w:tc>
        <w:tc>
          <w:tcPr>
            <w:tcW w:w="708" w:type="dxa"/>
          </w:tcPr>
          <w:p>
            <w:pPr>
              <w:jc w:val="center"/>
              <w:rPr>
                <w:rFonts w:asciiTheme="minorEastAsia" w:hAnsiTheme="minorEastAsia"/>
              </w:rPr>
            </w:pPr>
            <w:r>
              <w:rPr>
                <w:rFonts w:hint="eastAsia" w:asciiTheme="minorEastAsia" w:hAnsiTheme="minorEastAsia"/>
              </w:rPr>
              <w:t>高级</w:t>
            </w:r>
          </w:p>
        </w:tc>
        <w:tc>
          <w:tcPr>
            <w:tcW w:w="1560" w:type="dxa"/>
          </w:tcPr>
          <w:p>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西安市中心医院</w:t>
            </w:r>
          </w:p>
        </w:tc>
        <w:tc>
          <w:tcPr>
            <w:tcW w:w="1559" w:type="dxa"/>
          </w:tcPr>
          <w:p>
            <w:pPr>
              <w:jc w:val="center"/>
              <w:rPr>
                <w:rFonts w:asciiTheme="minorEastAsia" w:hAnsiTheme="minorEastAsia"/>
              </w:rPr>
            </w:pPr>
            <w:r>
              <w:rPr>
                <w:rFonts w:hint="eastAsia" w:asciiTheme="minorEastAsia" w:hAnsiTheme="minorEastAsia"/>
                <w:lang w:val="en-US" w:eastAsia="zh-CN"/>
              </w:rPr>
              <w:t>西安市中心医院</w:t>
            </w:r>
          </w:p>
        </w:tc>
        <w:tc>
          <w:tcPr>
            <w:tcW w:w="2551" w:type="dxa"/>
          </w:tcPr>
          <w:p>
            <w:pPr>
              <w:jc w:val="center"/>
              <w:rPr>
                <w:rFonts w:asciiTheme="minorEastAsia" w:hAnsiTheme="minorEastAsia"/>
              </w:rPr>
            </w:pPr>
            <w:r>
              <w:rPr>
                <w:rFonts w:hint="eastAsia"/>
                <w:color w:val="000000"/>
                <w:lang w:val="en-US" w:eastAsia="zh-CN"/>
              </w:rPr>
              <w:t>参与相关课题实施及文章撰写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rFonts w:asciiTheme="minorEastAsia" w:hAnsiTheme="minorEastAsia"/>
              </w:rPr>
            </w:pPr>
            <w:r>
              <w:rPr>
                <w:rFonts w:hint="eastAsia" w:asciiTheme="minorEastAsia" w:hAnsiTheme="minorEastAsia"/>
              </w:rPr>
              <w:t>高祎</w:t>
            </w:r>
          </w:p>
        </w:tc>
        <w:tc>
          <w:tcPr>
            <w:tcW w:w="567" w:type="dxa"/>
          </w:tcPr>
          <w:p>
            <w:pPr>
              <w:jc w:val="center"/>
              <w:rPr>
                <w:rFonts w:asciiTheme="minorEastAsia" w:hAnsiTheme="minorEastAsia"/>
              </w:rPr>
            </w:pPr>
            <w:r>
              <w:rPr>
                <w:rFonts w:asciiTheme="minorEastAsia" w:hAnsiTheme="minorEastAsia"/>
              </w:rPr>
              <w:t>6</w:t>
            </w:r>
          </w:p>
        </w:tc>
        <w:tc>
          <w:tcPr>
            <w:tcW w:w="1276" w:type="dxa"/>
          </w:tcPr>
          <w:p>
            <w:pPr>
              <w:jc w:val="center"/>
              <w:rPr>
                <w:rFonts w:asciiTheme="minorEastAsia" w:hAnsiTheme="minorEastAsia"/>
              </w:rPr>
            </w:pPr>
            <w:r>
              <w:rPr>
                <w:rFonts w:hint="eastAsia" w:asciiTheme="minorEastAsia" w:hAnsiTheme="minorEastAsia"/>
              </w:rPr>
              <w:t>科主任</w:t>
            </w:r>
          </w:p>
        </w:tc>
        <w:tc>
          <w:tcPr>
            <w:tcW w:w="708" w:type="dxa"/>
          </w:tcPr>
          <w:p>
            <w:pPr>
              <w:jc w:val="center"/>
              <w:rPr>
                <w:rFonts w:asciiTheme="minorEastAsia" w:hAnsiTheme="minorEastAsia"/>
              </w:rPr>
            </w:pPr>
            <w:r>
              <w:rPr>
                <w:rFonts w:hint="eastAsia" w:asciiTheme="minorEastAsia" w:hAnsiTheme="minorEastAsia"/>
              </w:rPr>
              <w:t>高级</w:t>
            </w:r>
          </w:p>
        </w:tc>
        <w:tc>
          <w:tcPr>
            <w:tcW w:w="1560" w:type="dxa"/>
          </w:tcPr>
          <w:p>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西安市第三医院</w:t>
            </w:r>
          </w:p>
        </w:tc>
        <w:tc>
          <w:tcPr>
            <w:tcW w:w="1559" w:type="dxa"/>
          </w:tcPr>
          <w:p>
            <w:pPr>
              <w:jc w:val="center"/>
              <w:rPr>
                <w:rFonts w:asciiTheme="minorEastAsia" w:hAnsiTheme="minorEastAsia"/>
              </w:rPr>
            </w:pPr>
          </w:p>
        </w:tc>
        <w:tc>
          <w:tcPr>
            <w:tcW w:w="2551" w:type="dxa"/>
          </w:tcPr>
          <w:p>
            <w:pPr>
              <w:jc w:val="center"/>
              <w:rPr>
                <w:rFonts w:hint="default" w:asciiTheme="minorEastAsia" w:hAnsiTheme="minorEastAsia"/>
                <w:lang w:val="en-US"/>
              </w:rPr>
            </w:pPr>
            <w:r>
              <w:rPr>
                <w:rFonts w:hint="eastAsia"/>
                <w:color w:val="000000"/>
                <w:lang w:val="en-US" w:eastAsia="zh-CN"/>
              </w:rPr>
              <w:t>参与相关课题实施及临床推广应用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jc w:val="center"/>
              <w:rPr>
                <w:rFonts w:asciiTheme="minorEastAsia" w:hAnsiTheme="minorEastAsia"/>
              </w:rPr>
            </w:pPr>
            <w:r>
              <w:rPr>
                <w:rFonts w:hint="eastAsia" w:asciiTheme="minorEastAsia" w:hAnsiTheme="minorEastAsia"/>
              </w:rPr>
              <w:t>金刚</w:t>
            </w:r>
          </w:p>
        </w:tc>
        <w:tc>
          <w:tcPr>
            <w:tcW w:w="567" w:type="dxa"/>
          </w:tcPr>
          <w:p>
            <w:pPr>
              <w:jc w:val="center"/>
              <w:rPr>
                <w:rFonts w:asciiTheme="minorEastAsia" w:hAnsiTheme="minorEastAsia"/>
              </w:rPr>
            </w:pPr>
            <w:r>
              <w:rPr>
                <w:rFonts w:hint="eastAsia" w:asciiTheme="minorEastAsia" w:hAnsiTheme="minorEastAsia"/>
              </w:rPr>
              <w:t>7</w:t>
            </w:r>
          </w:p>
        </w:tc>
        <w:tc>
          <w:tcPr>
            <w:tcW w:w="1276" w:type="dxa"/>
          </w:tcPr>
          <w:p>
            <w:pPr>
              <w:jc w:val="center"/>
              <w:rPr>
                <w:rFonts w:asciiTheme="minorEastAsia" w:hAnsiTheme="minorEastAsia"/>
              </w:rPr>
            </w:pPr>
            <w:r>
              <w:rPr>
                <w:rFonts w:hint="eastAsia" w:asciiTheme="minorEastAsia" w:hAnsiTheme="minorEastAsia"/>
              </w:rPr>
              <w:t>无</w:t>
            </w:r>
          </w:p>
        </w:tc>
        <w:tc>
          <w:tcPr>
            <w:tcW w:w="708" w:type="dxa"/>
          </w:tcPr>
          <w:p>
            <w:pPr>
              <w:jc w:val="center"/>
              <w:rPr>
                <w:rFonts w:asciiTheme="minorEastAsia" w:hAnsiTheme="minorEastAsia"/>
              </w:rPr>
            </w:pPr>
            <w:r>
              <w:rPr>
                <w:rFonts w:hint="eastAsia" w:asciiTheme="minorEastAsia" w:hAnsiTheme="minorEastAsia"/>
              </w:rPr>
              <w:t>中级</w:t>
            </w:r>
          </w:p>
        </w:tc>
        <w:tc>
          <w:tcPr>
            <w:tcW w:w="1560" w:type="dxa"/>
          </w:tcPr>
          <w:p>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陕西省人民医院</w:t>
            </w:r>
          </w:p>
        </w:tc>
        <w:tc>
          <w:tcPr>
            <w:tcW w:w="1559" w:type="dxa"/>
          </w:tcPr>
          <w:p>
            <w:pPr>
              <w:jc w:val="center"/>
              <w:rPr>
                <w:rFonts w:asciiTheme="minorEastAsia" w:hAnsiTheme="minorEastAsia"/>
              </w:rPr>
            </w:pPr>
          </w:p>
        </w:tc>
        <w:tc>
          <w:tcPr>
            <w:tcW w:w="2551" w:type="dxa"/>
          </w:tcPr>
          <w:p>
            <w:pPr>
              <w:jc w:val="center"/>
              <w:rPr>
                <w:rFonts w:hint="default" w:asciiTheme="minorEastAsia" w:hAnsiTheme="minorEastAsia"/>
                <w:lang w:val="en-US"/>
              </w:rPr>
            </w:pPr>
            <w:r>
              <w:rPr>
                <w:rFonts w:hint="eastAsia"/>
                <w:color w:val="000000"/>
                <w:lang w:val="en-US" w:eastAsia="zh-CN"/>
              </w:rPr>
              <w:t>参与相关课题实施及临床推广应用</w:t>
            </w:r>
          </w:p>
        </w:tc>
      </w:tr>
    </w:tbl>
    <w:p/>
    <w:p>
      <w:pPr>
        <w:rPr>
          <w:b/>
        </w:rPr>
      </w:pPr>
      <w:r>
        <w:rPr>
          <w:rFonts w:hint="eastAsia"/>
          <w:b/>
        </w:rPr>
        <w:t>主要完成单位：</w:t>
      </w:r>
      <w:r>
        <w:rPr>
          <w:b/>
        </w:rPr>
        <w:t xml:space="preserve"> </w:t>
      </w:r>
    </w:p>
    <w:tbl>
      <w:tblPr>
        <w:tblStyle w:val="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551"/>
        <w:gridCol w:w="851"/>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Pr>
          <w:p>
            <w:pPr>
              <w:jc w:val="center"/>
              <w:rPr>
                <w:b/>
              </w:rPr>
            </w:pPr>
            <w:r>
              <w:rPr>
                <w:rFonts w:hint="eastAsia"/>
                <w:b/>
              </w:rPr>
              <w:t>名称</w:t>
            </w:r>
          </w:p>
        </w:tc>
        <w:tc>
          <w:tcPr>
            <w:tcW w:w="2551" w:type="dxa"/>
          </w:tcPr>
          <w:p>
            <w:pPr>
              <w:jc w:val="center"/>
              <w:rPr>
                <w:b/>
              </w:rPr>
            </w:pPr>
            <w:r>
              <w:rPr>
                <w:rFonts w:hint="eastAsia"/>
                <w:b/>
              </w:rPr>
              <w:t>地址</w:t>
            </w:r>
          </w:p>
        </w:tc>
        <w:tc>
          <w:tcPr>
            <w:tcW w:w="851" w:type="dxa"/>
          </w:tcPr>
          <w:p>
            <w:pPr>
              <w:jc w:val="center"/>
              <w:rPr>
                <w:b/>
              </w:rPr>
            </w:pPr>
            <w:r>
              <w:rPr>
                <w:rFonts w:hint="eastAsia"/>
                <w:b/>
              </w:rPr>
              <w:t>邮编</w:t>
            </w:r>
          </w:p>
        </w:tc>
        <w:tc>
          <w:tcPr>
            <w:tcW w:w="850" w:type="dxa"/>
          </w:tcPr>
          <w:p>
            <w:pPr>
              <w:jc w:val="center"/>
              <w:rPr>
                <w:b/>
              </w:rPr>
            </w:pPr>
            <w:r>
              <w:rPr>
                <w:rFonts w:hint="eastAsia"/>
                <w:b/>
              </w:rPr>
              <w:t>联系人</w:t>
            </w:r>
          </w:p>
        </w:tc>
        <w:tc>
          <w:tcPr>
            <w:tcW w:w="1418" w:type="dxa"/>
          </w:tcPr>
          <w:p>
            <w:pPr>
              <w:jc w:val="center"/>
              <w:rPr>
                <w:b/>
              </w:rPr>
            </w:pPr>
            <w:r>
              <w:rPr>
                <w:rFonts w:hint="eastAsia"/>
                <w:b/>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Pr>
          <w:p>
            <w:pPr>
              <w:jc w:val="center"/>
              <w:rPr>
                <w:rFonts w:asciiTheme="minorEastAsia" w:hAnsiTheme="minorEastAsia"/>
              </w:rPr>
            </w:pPr>
            <w:r>
              <w:rPr>
                <w:rFonts w:hint="eastAsia" w:asciiTheme="minorEastAsia" w:hAnsiTheme="minorEastAsia"/>
              </w:rPr>
              <w:t>陕西中医药大学</w:t>
            </w:r>
          </w:p>
        </w:tc>
        <w:tc>
          <w:tcPr>
            <w:tcW w:w="2551" w:type="dxa"/>
          </w:tcPr>
          <w:p>
            <w:pPr>
              <w:jc w:val="center"/>
              <w:rPr>
                <w:rFonts w:asciiTheme="minorEastAsia" w:hAnsiTheme="minorEastAsia"/>
              </w:rPr>
            </w:pPr>
            <w:r>
              <w:rPr>
                <w:rFonts w:hint="eastAsia" w:asciiTheme="minorEastAsia" w:hAnsiTheme="minorEastAsia"/>
              </w:rPr>
              <w:t>陕西省咸阳市</w:t>
            </w:r>
            <w:r>
              <w:rPr>
                <w:rFonts w:hint="eastAsia" w:asciiTheme="minorEastAsia" w:hAnsiTheme="minorEastAsia"/>
                <w:lang w:val="en-US" w:eastAsia="zh-CN"/>
              </w:rPr>
              <w:t>世纪大道中段</w:t>
            </w:r>
          </w:p>
        </w:tc>
        <w:tc>
          <w:tcPr>
            <w:tcW w:w="851" w:type="dxa"/>
          </w:tcPr>
          <w:p>
            <w:pPr>
              <w:jc w:val="center"/>
              <w:rPr>
                <w:rFonts w:asciiTheme="minorEastAsia" w:hAnsiTheme="minorEastAsia"/>
              </w:rPr>
            </w:pPr>
            <w:r>
              <w:rPr>
                <w:rFonts w:asciiTheme="minorEastAsia" w:hAnsiTheme="minorEastAsia"/>
              </w:rPr>
              <w:t>712000</w:t>
            </w:r>
          </w:p>
        </w:tc>
        <w:tc>
          <w:tcPr>
            <w:tcW w:w="850" w:type="dxa"/>
          </w:tcPr>
          <w:p>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仝武宁</w:t>
            </w:r>
          </w:p>
        </w:tc>
        <w:tc>
          <w:tcPr>
            <w:tcW w:w="1418" w:type="dxa"/>
          </w:tcPr>
          <w:p>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15229407758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Pr>
          <w:p>
            <w:pPr>
              <w:jc w:val="center"/>
              <w:rPr>
                <w:rFonts w:hint="default" w:asciiTheme="minorEastAsia" w:hAnsiTheme="minorEastAsia" w:eastAsiaTheme="minorEastAsia"/>
                <w:lang w:val="en-US" w:eastAsia="zh-CN"/>
              </w:rPr>
            </w:pPr>
            <w:r>
              <w:rPr>
                <w:rFonts w:hint="eastAsia" w:asciiTheme="minorEastAsia" w:hAnsiTheme="minorEastAsia"/>
              </w:rPr>
              <w:t>西安</w:t>
            </w:r>
            <w:r>
              <w:rPr>
                <w:rFonts w:asciiTheme="minorEastAsia" w:hAnsiTheme="minorEastAsia"/>
              </w:rPr>
              <w:t>交通大学</w:t>
            </w:r>
            <w:r>
              <w:rPr>
                <w:rFonts w:hint="eastAsia" w:asciiTheme="minorEastAsia" w:hAnsiTheme="minorEastAsia"/>
                <w:lang w:val="en-US" w:eastAsia="zh-CN"/>
              </w:rPr>
              <w:t>第一附属医院</w:t>
            </w:r>
          </w:p>
        </w:tc>
        <w:tc>
          <w:tcPr>
            <w:tcW w:w="2551" w:type="dxa"/>
          </w:tcPr>
          <w:p>
            <w:pPr>
              <w:jc w:val="center"/>
              <w:rPr>
                <w:rFonts w:asciiTheme="minorEastAsia" w:hAnsiTheme="minorEastAsia"/>
              </w:rPr>
            </w:pPr>
            <w:r>
              <w:rPr>
                <w:rFonts w:ascii="Arial" w:hAnsi="Arial" w:eastAsia="宋体" w:cs="Arial"/>
                <w:i w:val="0"/>
                <w:caps w:val="0"/>
                <w:color w:val="333333"/>
                <w:spacing w:val="0"/>
                <w:sz w:val="19"/>
                <w:szCs w:val="19"/>
                <w:shd w:val="clear" w:fill="FFFFFF"/>
              </w:rPr>
              <w:t xml:space="preserve">西安市雁塔西路277号 </w:t>
            </w:r>
          </w:p>
        </w:tc>
        <w:tc>
          <w:tcPr>
            <w:tcW w:w="851" w:type="dxa"/>
          </w:tcPr>
          <w:p>
            <w:pPr>
              <w:jc w:val="center"/>
              <w:rPr>
                <w:rFonts w:asciiTheme="minorEastAsia" w:hAnsiTheme="minorEastAsia"/>
              </w:rPr>
            </w:pPr>
            <w:r>
              <w:rPr>
                <w:rFonts w:ascii="Arial" w:hAnsi="Arial" w:eastAsia="宋体" w:cs="Arial"/>
                <w:i w:val="0"/>
                <w:caps w:val="0"/>
                <w:color w:val="333333"/>
                <w:spacing w:val="0"/>
                <w:sz w:val="19"/>
                <w:szCs w:val="19"/>
                <w:shd w:val="clear" w:fill="FFFFFF"/>
              </w:rPr>
              <w:t>710061</w:t>
            </w:r>
          </w:p>
        </w:tc>
        <w:tc>
          <w:tcPr>
            <w:tcW w:w="850" w:type="dxa"/>
          </w:tcPr>
          <w:p>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赵兴华</w:t>
            </w:r>
          </w:p>
        </w:tc>
        <w:tc>
          <w:tcPr>
            <w:tcW w:w="1418" w:type="dxa"/>
          </w:tcPr>
          <w:p>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17792966488</w:t>
            </w:r>
          </w:p>
        </w:tc>
      </w:tr>
    </w:tbl>
    <w:p>
      <w:pPr>
        <w:tabs>
          <w:tab w:val="left" w:pos="2250"/>
        </w:tabs>
        <w:rPr>
          <w:b/>
          <w:color w:val="000000" w:themeColor="text1"/>
          <w14:textFill>
            <w14:solidFill>
              <w14:schemeClr w14:val="tx1"/>
            </w14:solidFill>
          </w14:textFill>
        </w:rPr>
      </w:pPr>
    </w:p>
    <w:p>
      <w:pPr>
        <w:tabs>
          <w:tab w:val="left" w:pos="2250"/>
        </w:tabs>
        <w:rPr>
          <w:color w:val="000000" w:themeColor="text1"/>
          <w14:textFill>
            <w14:solidFill>
              <w14:schemeClr w14:val="tx1"/>
            </w14:solidFill>
          </w14:textFill>
        </w:rPr>
      </w:pPr>
      <w:r>
        <w:rPr>
          <w:rFonts w:hint="eastAsia"/>
          <w:b/>
          <w:color w:val="000000" w:themeColor="text1"/>
          <w14:textFill>
            <w14:solidFill>
              <w14:schemeClr w14:val="tx1"/>
            </w14:solidFill>
          </w14:textFill>
        </w:rPr>
        <w:t>创新推广贡献：</w:t>
      </w:r>
    </w:p>
    <w:p>
      <w:pPr>
        <w:ind w:firstLine="210" w:firstLineChars="100"/>
        <w:rPr>
          <w:b/>
        </w:rPr>
      </w:pPr>
      <w:r>
        <w:rPr>
          <w:rFonts w:hint="eastAsia"/>
          <w:color w:val="000000"/>
        </w:rPr>
        <w:t>1、本课题组创立的益气活血方药干预糖尿病肾病思路，广泛应用于陕西中医药大学附属医院、陕西省中医医院、西安市中心医院、西安第三医院等多家医疗机构，取得了满意的临床效果及社会效益，同时节省了大量不必要检查，减轻了当地医疗行业负担。 2、本课题组应用益气活血法干预糖尿病肾病治疗思路，培养了多名研究生，为医疗行业的发展 提供了一定人力、智力支持。 3、应用“糖肾一号胶囊”、“益气活血方”干预糖尿病肾病，不但减轻了患者痛苦，同时在一定程度上促进了当地中药材销售，有力的推动了当地经济流通，使中医药为人类健康更好服务。</w:t>
      </w:r>
    </w:p>
    <w:p/>
    <w:p>
      <w:pPr>
        <w:rPr>
          <w:b/>
        </w:rPr>
      </w:pPr>
      <w:r>
        <w:rPr>
          <w:rFonts w:hint="eastAsia"/>
          <w:b/>
        </w:rPr>
        <w:t>完成人合作关系说明：</w:t>
      </w:r>
    </w:p>
    <w:p>
      <w:pPr>
        <w:ind w:firstLine="315" w:firstLineChars="150"/>
      </w:pPr>
      <w:r>
        <w:rPr>
          <w:rFonts w:hint="eastAsia"/>
          <w:color w:val="000000"/>
        </w:rPr>
        <w:t>苏衍进作为项目主持人，负责完成课题设计、监督实施、技术指导并结题；王惠玲、田</w:t>
      </w:r>
      <w:r>
        <w:rPr>
          <w:color w:val="000000"/>
        </w:rPr>
        <w:t>普</w:t>
      </w:r>
      <w:r>
        <w:rPr>
          <w:rFonts w:hint="eastAsia"/>
          <w:color w:val="000000"/>
        </w:rPr>
        <w:t>训参与项目实施、并结题；王郁金、李苏童、高祎、</w:t>
      </w:r>
      <w:r>
        <w:rPr>
          <w:color w:val="000000"/>
        </w:rPr>
        <w:t>金刚</w:t>
      </w:r>
      <w:r>
        <w:rPr>
          <w:rFonts w:hint="eastAsia"/>
          <w:color w:val="000000"/>
        </w:rPr>
        <w:t>参与课题实施。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A2"/>
    <w:rsid w:val="0002712A"/>
    <w:rsid w:val="000446CC"/>
    <w:rsid w:val="00057255"/>
    <w:rsid w:val="000666B8"/>
    <w:rsid w:val="0009265E"/>
    <w:rsid w:val="00094BCD"/>
    <w:rsid w:val="000A30E5"/>
    <w:rsid w:val="000E4575"/>
    <w:rsid w:val="00162CCA"/>
    <w:rsid w:val="001744DD"/>
    <w:rsid w:val="00193204"/>
    <w:rsid w:val="00224FA2"/>
    <w:rsid w:val="00241C3F"/>
    <w:rsid w:val="00254C2E"/>
    <w:rsid w:val="002D1644"/>
    <w:rsid w:val="00330FDC"/>
    <w:rsid w:val="00332537"/>
    <w:rsid w:val="0035622D"/>
    <w:rsid w:val="00372B84"/>
    <w:rsid w:val="003D3ECE"/>
    <w:rsid w:val="00413D88"/>
    <w:rsid w:val="00490CD2"/>
    <w:rsid w:val="004B072D"/>
    <w:rsid w:val="004B3B03"/>
    <w:rsid w:val="00537CB5"/>
    <w:rsid w:val="00580685"/>
    <w:rsid w:val="00597E7D"/>
    <w:rsid w:val="005E0139"/>
    <w:rsid w:val="005E0B12"/>
    <w:rsid w:val="0061227C"/>
    <w:rsid w:val="00671FBB"/>
    <w:rsid w:val="006A5BED"/>
    <w:rsid w:val="006E0E21"/>
    <w:rsid w:val="00757ECD"/>
    <w:rsid w:val="00783BAD"/>
    <w:rsid w:val="00784696"/>
    <w:rsid w:val="00822951"/>
    <w:rsid w:val="0083052E"/>
    <w:rsid w:val="00853953"/>
    <w:rsid w:val="00891EE4"/>
    <w:rsid w:val="008C5466"/>
    <w:rsid w:val="008E4A53"/>
    <w:rsid w:val="00937D04"/>
    <w:rsid w:val="009A3164"/>
    <w:rsid w:val="009A46A3"/>
    <w:rsid w:val="009B3C30"/>
    <w:rsid w:val="00A507F2"/>
    <w:rsid w:val="00B04FD6"/>
    <w:rsid w:val="00B742EE"/>
    <w:rsid w:val="00B92279"/>
    <w:rsid w:val="00BE7417"/>
    <w:rsid w:val="00C327DA"/>
    <w:rsid w:val="00CC0D78"/>
    <w:rsid w:val="00CD6F3B"/>
    <w:rsid w:val="00D2230A"/>
    <w:rsid w:val="00D439D4"/>
    <w:rsid w:val="00D676D1"/>
    <w:rsid w:val="00DF279D"/>
    <w:rsid w:val="00E1721B"/>
    <w:rsid w:val="00E24988"/>
    <w:rsid w:val="00E33BDE"/>
    <w:rsid w:val="00E802B9"/>
    <w:rsid w:val="00EC07AB"/>
    <w:rsid w:val="00FE3490"/>
    <w:rsid w:val="031121ED"/>
    <w:rsid w:val="0D9F7F98"/>
    <w:rsid w:val="157416C3"/>
    <w:rsid w:val="1EC97E82"/>
    <w:rsid w:val="21FC72A4"/>
    <w:rsid w:val="27D03A1C"/>
    <w:rsid w:val="35283528"/>
    <w:rsid w:val="36A063DC"/>
    <w:rsid w:val="37BF321F"/>
    <w:rsid w:val="37D2495E"/>
    <w:rsid w:val="3C8853E7"/>
    <w:rsid w:val="3CB32DF2"/>
    <w:rsid w:val="45D33266"/>
    <w:rsid w:val="46280F71"/>
    <w:rsid w:val="4A3340D6"/>
    <w:rsid w:val="4C9408A1"/>
    <w:rsid w:val="516E6420"/>
    <w:rsid w:val="51C01B38"/>
    <w:rsid w:val="5DE827C6"/>
    <w:rsid w:val="63AD3D55"/>
    <w:rsid w:val="6B693693"/>
    <w:rsid w:val="72A1395B"/>
    <w:rsid w:val="7401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729</Words>
  <Characters>4157</Characters>
  <Lines>34</Lines>
  <Paragraphs>9</Paragraphs>
  <TotalTime>13</TotalTime>
  <ScaleCrop>false</ScaleCrop>
  <LinksUpToDate>false</LinksUpToDate>
  <CharactersWithSpaces>4877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2019-06-19T08:44:00Z</dcterms:created>
  <dc:creator>admin</dc:creator>
  <cp:lastModifiedBy>王郁金</cp:lastModifiedBy>
  <dcterms:modified xsi:type="dcterms:W3CDTF">2019-06-19T14:48:10Z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